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07" w:rsidRPr="00A80A07" w:rsidRDefault="00A80A07" w:rsidP="00A80A07">
      <w:pPr>
        <w:pStyle w:val="NormalWeb"/>
        <w:spacing w:before="0" w:beforeAutospacing="0" w:after="0" w:afterAutospacing="0" w:line="234" w:lineRule="atLeast"/>
        <w:jc w:val="center"/>
        <w:rPr>
          <w:color w:val="000000"/>
          <w:sz w:val="26"/>
          <w:szCs w:val="26"/>
        </w:rPr>
      </w:pPr>
      <w:bookmarkStart w:id="0" w:name="chuong_pl_5"/>
      <w:r w:rsidRPr="00A80A07">
        <w:rPr>
          <w:rStyle w:val="Strong"/>
          <w:color w:val="000000"/>
          <w:sz w:val="26"/>
          <w:szCs w:val="26"/>
        </w:rPr>
        <w:t>PHỤ LỤC V</w:t>
      </w:r>
      <w:bookmarkEnd w:id="0"/>
    </w:p>
    <w:p w:rsidR="00A80A07" w:rsidRPr="00A80A07" w:rsidRDefault="00A80A07" w:rsidP="00A80A07">
      <w:pPr>
        <w:pStyle w:val="NormalWeb"/>
        <w:spacing w:before="0" w:beforeAutospacing="0" w:after="0" w:afterAutospacing="0" w:line="234" w:lineRule="atLeast"/>
        <w:jc w:val="center"/>
        <w:rPr>
          <w:color w:val="000000"/>
          <w:sz w:val="26"/>
          <w:szCs w:val="26"/>
        </w:rPr>
      </w:pPr>
      <w:bookmarkStart w:id="1" w:name="chuong_pl_5_name"/>
      <w:r w:rsidRPr="00A80A07">
        <w:rPr>
          <w:rStyle w:val="Strong"/>
          <w:b w:val="0"/>
          <w:bCs w:val="0"/>
          <w:color w:val="000000"/>
          <w:sz w:val="26"/>
          <w:szCs w:val="26"/>
        </w:rPr>
        <w:t>DANH MỤC DỰ ÁN, CÔNG TRÌNH, PHƯƠNG TIỆN GIAO THÔNG CƠ GIỚI THUỘC DIỆN THẨM DUYỆT THIẾT KẾ VỀ PHÒNG CHÁY VÀ CHỮA CHÁY</w:t>
      </w:r>
      <w:bookmarkEnd w:id="1"/>
      <w:r w:rsidRPr="00A80A07">
        <w:rPr>
          <w:b/>
          <w:bCs/>
          <w:color w:val="000000"/>
          <w:sz w:val="26"/>
          <w:szCs w:val="26"/>
        </w:rPr>
        <w:br/>
      </w:r>
      <w:r w:rsidRPr="00A80A07">
        <w:rPr>
          <w:i/>
          <w:iCs/>
          <w:color w:val="000000"/>
          <w:sz w:val="26"/>
          <w:szCs w:val="26"/>
        </w:rPr>
        <w:t>(Kèm theo Nghị định số 50/2024/NĐ-CP ngày 10 tháng 5 năm 2024 của Chính phủ)</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 Nhà làm việc của cơ quan nhà nước cao từ 7 tầng trở lên hoặc có khối tích từ 5.000 m</w:t>
      </w:r>
      <w:r w:rsidRPr="00A80A07">
        <w:rPr>
          <w:color w:val="000000"/>
          <w:sz w:val="26"/>
          <w:szCs w:val="26"/>
          <w:vertAlign w:val="superscript"/>
        </w:rPr>
        <w:t>3</w:t>
      </w:r>
      <w:r w:rsidRPr="00A80A07">
        <w:rPr>
          <w:color w:val="000000"/>
          <w:sz w:val="26"/>
          <w:szCs w:val="26"/>
        </w:rPr>
        <w:t> trở lên.</w:t>
      </w:r>
      <w:bookmarkStart w:id="2" w:name="_GoBack"/>
      <w:bookmarkEnd w:id="2"/>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2. Nhà làm việc của doanh nghiệp, tổ chức chính trị, xã hội, nhà chung cư, nhà tập thể, nhà ở ký túc xá, nhà hỗn hợp, khách sạn, nhà khách, nhà nghỉ cao từ 7 tầng trở lên hoặc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3. Nhà của cơ sở bưu điện, cơ sở viễn thông, trung tâm lưu trữ, quản lý dữ liệu, cơ sở phát thanh, truyền hình cao từ 5 tầng trở lên hoặc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4. Nhà trẻ, trường mẫu giáo, mầm non cao từ 03 tầng trở lên hoặc có khối tích từ 3.000 m</w:t>
      </w:r>
      <w:r w:rsidRPr="00A80A07">
        <w:rPr>
          <w:color w:val="000000"/>
          <w:sz w:val="26"/>
          <w:szCs w:val="26"/>
          <w:vertAlign w:val="superscript"/>
        </w:rPr>
        <w:t>3</w:t>
      </w:r>
      <w:r w:rsidRPr="00A80A07">
        <w:rPr>
          <w:color w:val="000000"/>
          <w:sz w:val="26"/>
          <w:szCs w:val="26"/>
        </w:rPr>
        <w:t> trở lên; trường tiểu học, trung học cơ sở, trung học phổ thông, trường phổ thông có nhiều cấp học có khối tích từ 5.000 m</w:t>
      </w:r>
      <w:r w:rsidRPr="00A80A07">
        <w:rPr>
          <w:color w:val="000000"/>
          <w:sz w:val="26"/>
          <w:szCs w:val="26"/>
          <w:vertAlign w:val="superscript"/>
        </w:rPr>
        <w:t>3</w:t>
      </w:r>
      <w:r w:rsidRPr="00A80A07">
        <w:rPr>
          <w:color w:val="000000"/>
          <w:sz w:val="26"/>
          <w:szCs w:val="26"/>
        </w:rPr>
        <w:t> trở lên; nhà, công trình của học viện, trường đại học, cao đẳng, trường trung cấp chuyên nghiệp, trường dạy nghề, cơ sở giáo dục thường xuyên cao từ 5 tầng trở lên hoặc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5. Bệnh viện cao từ 03 tầng trở lên hoặc có khối tích 3.000 m</w:t>
      </w:r>
      <w:r w:rsidRPr="00A80A07">
        <w:rPr>
          <w:color w:val="000000"/>
          <w:sz w:val="26"/>
          <w:szCs w:val="26"/>
          <w:vertAlign w:val="superscript"/>
        </w:rPr>
        <w:t>3</w:t>
      </w:r>
      <w:r w:rsidRPr="00A80A07">
        <w:rPr>
          <w:color w:val="000000"/>
          <w:sz w:val="26"/>
          <w:szCs w:val="26"/>
        </w:rPr>
        <w:t> trở lên; phòng khám đa khoa, khám chuyên khoa, nhà điều dưỡng, phục hồi chức năng, chỉnh hình, nhà dưỡng lão, cơ sở phòng chống dịch bệnh, trung tâm y tế cao từ 5 tầng trở lên hoặc có khối tích từ 3.000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6. Nhà hát, rạp chiếu phim, rạp xiếc có từ 300 chỗ ngồi trở lên; trung tâm hội nghị, tổ chức sự kiện, nhà văn hóa cao từ 5 tầng trở lên hoặc có khối tích từ 5.000 m</w:t>
      </w:r>
      <w:r w:rsidRPr="00A80A07">
        <w:rPr>
          <w:color w:val="000000"/>
          <w:sz w:val="26"/>
          <w:szCs w:val="26"/>
          <w:vertAlign w:val="superscript"/>
        </w:rPr>
        <w:t>3</w:t>
      </w:r>
      <w:r w:rsidRPr="00A80A07">
        <w:rPr>
          <w:color w:val="000000"/>
          <w:sz w:val="26"/>
          <w:szCs w:val="26"/>
        </w:rPr>
        <w:t> trở lên; cơ sở kinh doanh dịch vụ karaoke, vũ trường cao từ 3 tầng trở lên hoặc có khối tích từ 1.500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7. Chợ, trung tâm thương mại, siêu thị, nhà hàng có khối tích từ 3.000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8. Bảo tàng, thư viện, triển lãm, nhà trưng bày, nhà lưu trữ, nhà sách, nhà hội chợ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9. Sân vận động có sức chứa từ 5.000 chỗ ngồi trở lên; nhà thi đấu thể thao, cung thể thao trong nhà, trung tâm thể dục, thể thao có sức chứa từ 5.000 chỗ ngồi trở lên hoặc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10. Cảng hàng không, công trình tàu điện ngầm; bến cảng biển; cảng cạn; cảng thủy nội địa; nhà chờ bến xe ô tô, nhà ga đường sắt, nhà chờ cáp treo vận chuyển người, trạm dừng nghỉ có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11. Gara để xe ô tô trong nhà có khối tích từ 3.000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12. Hầm đường bộ, hầm đường sắt có chiều dài từ 1.000 m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13. Cơ sở hạt nhân; cơ sở sản xuất, kinh doanh, bảo quản, vật liệu nổ công nghiệp và tiền chất thuốc nổ; kho vật liệu nổ công nghiệp, tiền chất thuốc nổ; cảng xuất, nhập vật liệu nổ công nghiệp, tiền chất thuốc nổ.</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 xml:space="preserve">14. Cơ sở khai thác, chế biến, sản xuất, vận chuyển, kinh doanh, bảo quản dầu mỏ và sản phẩm dầu mỏ, khí đốt trên đất liền, kho dầu mỏ và sản phẩm dầu mỏ, kho khí đốt; cảng xuất, nhập dầu mỏ và sản phẩm dầu mỏ, khí đốt; cửa hàng kinh doanh xăng dầu, </w:t>
      </w:r>
      <w:r w:rsidRPr="00A80A07">
        <w:rPr>
          <w:color w:val="000000"/>
          <w:sz w:val="26"/>
          <w:szCs w:val="26"/>
        </w:rPr>
        <w:lastRenderedPageBreak/>
        <w:t>trạm cấp xăng dầu nội bộ có từ 01 cột bơm trở lên; cơ sở kinh doanh khí đốt có tổng lượng khí tồn chứa từ 1.000 kg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15. Công trình sản xuất công nghiệp có hạng nguy hiểm cháy, nổ A, B có tổng khối tích từ 5.000 m</w:t>
      </w:r>
      <w:r w:rsidRPr="00A80A07">
        <w:rPr>
          <w:color w:val="000000"/>
          <w:sz w:val="26"/>
          <w:szCs w:val="26"/>
          <w:vertAlign w:val="superscript"/>
        </w:rPr>
        <w:t>3</w:t>
      </w:r>
      <w:r w:rsidRPr="00A80A07">
        <w:rPr>
          <w:color w:val="000000"/>
          <w:sz w:val="26"/>
          <w:szCs w:val="26"/>
        </w:rPr>
        <w:t> trở lên, hạng nguy hiểm cháy, nổ C có tổng khối tích từ 10.000 m</w:t>
      </w:r>
      <w:r w:rsidRPr="00A80A07">
        <w:rPr>
          <w:color w:val="000000"/>
          <w:sz w:val="26"/>
          <w:szCs w:val="26"/>
          <w:vertAlign w:val="superscript"/>
        </w:rPr>
        <w:t>3</w:t>
      </w:r>
      <w:r w:rsidRPr="00A80A07">
        <w:rPr>
          <w:color w:val="000000"/>
          <w:sz w:val="26"/>
          <w:szCs w:val="26"/>
        </w:rPr>
        <w:t> trở lên, hạng nguy hiểm cháy, nổ D, E có tổng khối tích từ 15.000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16. Nhà máy điện; trạm biến áp có điện áp từ 110 kV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17. Hầm có hoạt động sản xuất, bảo quản, sử dụng chất cháy, nổ và có tổng khối tích từ 1.000 m</w:t>
      </w:r>
      <w:r w:rsidRPr="00A80A07">
        <w:rPr>
          <w:color w:val="000000"/>
          <w:sz w:val="26"/>
          <w:szCs w:val="26"/>
          <w:vertAlign w:val="superscript"/>
        </w:rPr>
        <w:t>3</w:t>
      </w:r>
      <w:r w:rsidRPr="00A80A07">
        <w:rPr>
          <w:color w:val="000000"/>
          <w:sz w:val="26"/>
          <w:szCs w:val="26"/>
        </w:rPr>
        <w:t> trở lên; nhà kho hàng hóa, vật tư cháy được có tổng khối tích từ 5.000 m</w:t>
      </w:r>
      <w:r w:rsidRPr="00A80A07">
        <w:rPr>
          <w:color w:val="000000"/>
          <w:sz w:val="26"/>
          <w:szCs w:val="26"/>
          <w:vertAlign w:val="superscript"/>
        </w:rPr>
        <w:t>3</w:t>
      </w:r>
      <w:r w:rsidRPr="00A80A07">
        <w:rPr>
          <w:color w:val="000000"/>
          <w:sz w:val="26"/>
          <w:szCs w:val="26"/>
        </w:rPr>
        <w:t>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18. Công trình hạ tầng kỹ thuật có liên quan đến phòng cháy và chữa cháy của đô thị, khu kinh tế, khu công nghiệp, cụm công nghiệp, khu chế xuất, khu công nghệ cao thuộc thẩm quyền phê duyệt của cấp huyện trở lên.</w:t>
      </w:r>
    </w:p>
    <w:p w:rsidR="00A80A07" w:rsidRPr="00A80A07" w:rsidRDefault="00A80A07" w:rsidP="00A80A07">
      <w:pPr>
        <w:pStyle w:val="NormalWeb"/>
        <w:spacing w:before="120" w:beforeAutospacing="0" w:after="0" w:afterAutospacing="0" w:line="234" w:lineRule="atLeast"/>
        <w:rPr>
          <w:color w:val="000000"/>
          <w:sz w:val="26"/>
          <w:szCs w:val="26"/>
        </w:rPr>
      </w:pPr>
      <w:r w:rsidRPr="00A80A07">
        <w:rPr>
          <w:color w:val="000000"/>
          <w:sz w:val="26"/>
          <w:szCs w:val="26"/>
        </w:rPr>
        <w:t>19. Phương tiện giao thông cơ giới có yêu cầu đặc biệt về bảo đảm an toàn phòng cháy và chữa cháy: phương tiện giao thông đường sắt, phương tiện đường thủy có chiều dài từ 20 m trở lên vận chuyển hành khách, vận chuyển xăng, dầu, chất lỏng dễ cháy, khí cháy, vật liệu nổ, hóa chất có nguy hiểm về cháy, nổ.</w:t>
      </w:r>
    </w:p>
    <w:p w:rsidR="00B92865" w:rsidRPr="00A80A07" w:rsidRDefault="00B92865">
      <w:pPr>
        <w:rPr>
          <w:rFonts w:ascii="Times New Roman" w:hAnsi="Times New Roman" w:cs="Times New Roman"/>
          <w:sz w:val="26"/>
          <w:szCs w:val="26"/>
        </w:rPr>
      </w:pPr>
    </w:p>
    <w:sectPr w:rsidR="00B92865" w:rsidRPr="00A80A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07"/>
    <w:rsid w:val="00A80A07"/>
    <w:rsid w:val="00B92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340E9-E6AC-47F9-8437-C5143949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A0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80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2024-05-16T02:07:00Z</dcterms:created>
  <dcterms:modified xsi:type="dcterms:W3CDTF">2024-05-16T02:07:00Z</dcterms:modified>
</cp:coreProperties>
</file>