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A2C" w:rsidRPr="00262A2C" w:rsidRDefault="00262A2C" w:rsidP="00262A2C">
      <w:pPr>
        <w:pStyle w:val="NormalWeb"/>
        <w:spacing w:before="0" w:beforeAutospacing="0" w:after="0" w:afterAutospacing="0" w:line="234" w:lineRule="atLeast"/>
        <w:jc w:val="center"/>
        <w:rPr>
          <w:color w:val="000000"/>
          <w:sz w:val="26"/>
          <w:szCs w:val="26"/>
        </w:rPr>
      </w:pPr>
      <w:bookmarkStart w:id="0" w:name="chuong_pl_4"/>
      <w:r w:rsidRPr="00262A2C">
        <w:rPr>
          <w:rStyle w:val="Strong"/>
          <w:color w:val="000000"/>
          <w:sz w:val="26"/>
          <w:szCs w:val="26"/>
        </w:rPr>
        <w:t>PHỤ LỤC IV</w:t>
      </w:r>
      <w:bookmarkEnd w:id="0"/>
    </w:p>
    <w:p w:rsidR="00262A2C" w:rsidRPr="00262A2C" w:rsidRDefault="00262A2C" w:rsidP="00262A2C">
      <w:pPr>
        <w:pStyle w:val="NormalWeb"/>
        <w:spacing w:before="0" w:beforeAutospacing="0" w:after="0" w:afterAutospacing="0" w:line="234" w:lineRule="atLeast"/>
        <w:jc w:val="center"/>
        <w:rPr>
          <w:color w:val="000000"/>
          <w:sz w:val="26"/>
          <w:szCs w:val="26"/>
        </w:rPr>
      </w:pPr>
      <w:bookmarkStart w:id="1" w:name="chuong_pl_4_name"/>
      <w:r w:rsidRPr="00262A2C">
        <w:rPr>
          <w:rStyle w:val="Strong"/>
          <w:b w:val="0"/>
          <w:bCs w:val="0"/>
          <w:color w:val="000000"/>
          <w:sz w:val="26"/>
          <w:szCs w:val="26"/>
        </w:rPr>
        <w:t>DANH MỤC CƠ SỞ DO ỦY BAN NHÂN DÂN CẤP XÃ QUẢN LÝ</w:t>
      </w:r>
      <w:bookmarkEnd w:id="1"/>
      <w:r w:rsidRPr="00262A2C">
        <w:rPr>
          <w:b/>
          <w:bCs/>
          <w:color w:val="000000"/>
          <w:sz w:val="26"/>
          <w:szCs w:val="26"/>
        </w:rPr>
        <w:br/>
      </w:r>
      <w:r w:rsidRPr="00262A2C">
        <w:rPr>
          <w:i/>
          <w:iCs/>
          <w:color w:val="000000"/>
          <w:sz w:val="26"/>
          <w:szCs w:val="26"/>
        </w:rPr>
        <w:t>(Kèm theo Nghị định số 50/2024/NĐ-CP ngày 10 tháng 5 năm 2024 của Chính phủ)</w:t>
      </w:r>
    </w:p>
    <w:p w:rsidR="00262A2C" w:rsidRPr="00262A2C" w:rsidRDefault="00262A2C" w:rsidP="00262A2C">
      <w:pPr>
        <w:pStyle w:val="NormalWeb"/>
        <w:spacing w:before="120" w:beforeAutospacing="0" w:after="0" w:afterAutospacing="0" w:line="234" w:lineRule="atLeast"/>
        <w:rPr>
          <w:color w:val="000000"/>
          <w:sz w:val="26"/>
          <w:szCs w:val="26"/>
        </w:rPr>
      </w:pPr>
      <w:r w:rsidRPr="00262A2C">
        <w:rPr>
          <w:color w:val="000000"/>
          <w:sz w:val="26"/>
          <w:szCs w:val="26"/>
        </w:rPr>
        <w:t>1. Trụ sở cơ quan nhà nước cấp xã.</w:t>
      </w:r>
    </w:p>
    <w:p w:rsidR="00262A2C" w:rsidRPr="00262A2C" w:rsidRDefault="00262A2C" w:rsidP="00262A2C">
      <w:pPr>
        <w:pStyle w:val="NormalWeb"/>
        <w:spacing w:before="120" w:beforeAutospacing="0" w:after="0" w:afterAutospacing="0" w:line="234" w:lineRule="atLeast"/>
        <w:rPr>
          <w:color w:val="000000"/>
          <w:sz w:val="26"/>
          <w:szCs w:val="26"/>
        </w:rPr>
      </w:pPr>
      <w:r w:rsidRPr="00262A2C">
        <w:rPr>
          <w:color w:val="000000"/>
          <w:sz w:val="26"/>
          <w:szCs w:val="26"/>
        </w:rPr>
        <w:t>2. Nhà chung cư cao dưới 5 tầng và có tổng khối tích dưới 5.000 m</w:t>
      </w:r>
      <w:r w:rsidRPr="00262A2C">
        <w:rPr>
          <w:color w:val="000000"/>
          <w:sz w:val="26"/>
          <w:szCs w:val="26"/>
          <w:vertAlign w:val="superscript"/>
        </w:rPr>
        <w:t>3</w:t>
      </w:r>
      <w:r w:rsidRPr="00262A2C">
        <w:rPr>
          <w:color w:val="000000"/>
          <w:sz w:val="26"/>
          <w:szCs w:val="26"/>
        </w:rPr>
        <w:t>; nhà tập thể, nhà ở ký túc xá cao dưới 5 tầng và có tổng khối tích dưới 2.500 m</w:t>
      </w:r>
      <w:r w:rsidRPr="00262A2C">
        <w:rPr>
          <w:color w:val="000000"/>
          <w:sz w:val="26"/>
          <w:szCs w:val="26"/>
          <w:vertAlign w:val="superscript"/>
        </w:rPr>
        <w:t>3</w:t>
      </w:r>
      <w:r w:rsidRPr="00262A2C">
        <w:rPr>
          <w:color w:val="000000"/>
          <w:sz w:val="26"/>
          <w:szCs w:val="26"/>
        </w:rPr>
        <w:t>; nhà hỗn hợp cao dưới 5 tầng và có tổng khối tích dưới 1.500 m</w:t>
      </w:r>
      <w:r w:rsidRPr="00262A2C">
        <w:rPr>
          <w:color w:val="000000"/>
          <w:sz w:val="26"/>
          <w:szCs w:val="26"/>
          <w:vertAlign w:val="superscript"/>
        </w:rPr>
        <w:t>3</w:t>
      </w:r>
      <w:r w:rsidRPr="00262A2C">
        <w:rPr>
          <w:color w:val="000000"/>
          <w:sz w:val="26"/>
          <w:szCs w:val="26"/>
        </w:rPr>
        <w:t>.</w:t>
      </w:r>
    </w:p>
    <w:p w:rsidR="00262A2C" w:rsidRPr="00262A2C" w:rsidRDefault="00262A2C" w:rsidP="00262A2C">
      <w:pPr>
        <w:pStyle w:val="NormalWeb"/>
        <w:spacing w:before="120" w:beforeAutospacing="0" w:after="0" w:afterAutospacing="0" w:line="234" w:lineRule="atLeast"/>
        <w:rPr>
          <w:color w:val="000000"/>
          <w:sz w:val="26"/>
          <w:szCs w:val="26"/>
        </w:rPr>
      </w:pPr>
      <w:r w:rsidRPr="00262A2C">
        <w:rPr>
          <w:color w:val="000000"/>
          <w:sz w:val="26"/>
          <w:szCs w:val="26"/>
        </w:rPr>
        <w:t>3. Nhà trẻ, trường mẫu giáo, mầm non có dưới 100 cháu và có tổng khối tích các khối nhà học tập, phục vụ học tập dưới 1.000 m</w:t>
      </w:r>
      <w:r w:rsidRPr="00262A2C">
        <w:rPr>
          <w:color w:val="000000"/>
          <w:sz w:val="26"/>
          <w:szCs w:val="26"/>
          <w:vertAlign w:val="superscript"/>
        </w:rPr>
        <w:t>3</w:t>
      </w:r>
      <w:r w:rsidRPr="00262A2C">
        <w:rPr>
          <w:color w:val="000000"/>
          <w:sz w:val="26"/>
          <w:szCs w:val="26"/>
        </w:rPr>
        <w:t>; trường tiểu học, trung học cơ sở có tổng khối tích các khối nhà học tập, phục vụ học tập dưới 2.000 m</w:t>
      </w:r>
      <w:r w:rsidRPr="00262A2C">
        <w:rPr>
          <w:color w:val="000000"/>
          <w:sz w:val="26"/>
          <w:szCs w:val="26"/>
          <w:vertAlign w:val="superscript"/>
        </w:rPr>
        <w:t>3</w:t>
      </w:r>
      <w:r w:rsidRPr="00262A2C">
        <w:rPr>
          <w:color w:val="000000"/>
          <w:sz w:val="26"/>
          <w:szCs w:val="26"/>
        </w:rPr>
        <w:t>; cơ sở giáo dục khác được thành lập theo Luật Giáo dục có tổng khối tích các khối nhà học tập, phục vụ học tập dưới 1.000 m</w:t>
      </w:r>
      <w:r w:rsidRPr="00262A2C">
        <w:rPr>
          <w:color w:val="000000"/>
          <w:sz w:val="26"/>
          <w:szCs w:val="26"/>
          <w:vertAlign w:val="superscript"/>
        </w:rPr>
        <w:t>3</w:t>
      </w:r>
      <w:r w:rsidRPr="00262A2C">
        <w:rPr>
          <w:color w:val="000000"/>
          <w:sz w:val="26"/>
          <w:szCs w:val="26"/>
        </w:rPr>
        <w:t>.</w:t>
      </w:r>
      <w:bookmarkStart w:id="2" w:name="_GoBack"/>
      <w:bookmarkEnd w:id="2"/>
    </w:p>
    <w:p w:rsidR="00262A2C" w:rsidRPr="00262A2C" w:rsidRDefault="00262A2C" w:rsidP="00262A2C">
      <w:pPr>
        <w:pStyle w:val="NormalWeb"/>
        <w:spacing w:before="120" w:beforeAutospacing="0" w:after="0" w:afterAutospacing="0" w:line="234" w:lineRule="atLeast"/>
        <w:rPr>
          <w:color w:val="000000"/>
          <w:sz w:val="26"/>
          <w:szCs w:val="26"/>
        </w:rPr>
      </w:pPr>
      <w:r w:rsidRPr="00262A2C">
        <w:rPr>
          <w:color w:val="000000"/>
          <w:sz w:val="26"/>
          <w:szCs w:val="26"/>
        </w:rPr>
        <w:t>4. Phòng khám đa khoa, khám chuyên khoa, nhà điều dưỡng, phục hồi chức năng, chỉnh hình, nhà dưỡng lão, cơ sở phòng chống dịch bệnh, trung tâm y tế, cơ sở y tế khác được thành lập theo Luật Khám bệnh, chữa bệnh cao dưới 3 tầng và có tổng khối tích dưới 1.000 m</w:t>
      </w:r>
      <w:r w:rsidRPr="00262A2C">
        <w:rPr>
          <w:color w:val="000000"/>
          <w:sz w:val="26"/>
          <w:szCs w:val="26"/>
          <w:vertAlign w:val="superscript"/>
        </w:rPr>
        <w:t>3</w:t>
      </w:r>
      <w:r w:rsidRPr="00262A2C">
        <w:rPr>
          <w:color w:val="000000"/>
          <w:sz w:val="26"/>
          <w:szCs w:val="26"/>
        </w:rPr>
        <w:t>.</w:t>
      </w:r>
    </w:p>
    <w:p w:rsidR="00262A2C" w:rsidRPr="00262A2C" w:rsidRDefault="00262A2C" w:rsidP="00262A2C">
      <w:pPr>
        <w:pStyle w:val="NormalWeb"/>
        <w:spacing w:before="120" w:beforeAutospacing="0" w:after="0" w:afterAutospacing="0" w:line="234" w:lineRule="atLeast"/>
        <w:rPr>
          <w:color w:val="000000"/>
          <w:sz w:val="26"/>
          <w:szCs w:val="26"/>
        </w:rPr>
      </w:pPr>
      <w:r w:rsidRPr="00262A2C">
        <w:rPr>
          <w:color w:val="000000"/>
          <w:sz w:val="26"/>
          <w:szCs w:val="26"/>
        </w:rPr>
        <w:t>5. Trung tâm hội nghị, tổ chức sự kiện, nhà văn hóa cao dưới 3 tầng và có tổng khối tích của các nhà tổ chức hội nghị, sự kiện, văn hóa dưới 1.500 m</w:t>
      </w:r>
      <w:r w:rsidRPr="00262A2C">
        <w:rPr>
          <w:color w:val="000000"/>
          <w:sz w:val="26"/>
          <w:szCs w:val="26"/>
          <w:vertAlign w:val="superscript"/>
        </w:rPr>
        <w:t>3</w:t>
      </w:r>
      <w:r w:rsidRPr="00262A2C">
        <w:rPr>
          <w:color w:val="000000"/>
          <w:sz w:val="26"/>
          <w:szCs w:val="26"/>
        </w:rPr>
        <w:t>; cơ sở kinh doanh dịch vụ karaoke, vũ trường, quán bar, câu lạc bộ cao dưới 3 tầng hoặc có tổng khối tích các khối nhà phục vụ kinh doanh dưới 1.000 m</w:t>
      </w:r>
      <w:r w:rsidRPr="00262A2C">
        <w:rPr>
          <w:color w:val="000000"/>
          <w:sz w:val="26"/>
          <w:szCs w:val="26"/>
          <w:vertAlign w:val="superscript"/>
        </w:rPr>
        <w:t>3</w:t>
      </w:r>
      <w:r w:rsidRPr="00262A2C">
        <w:rPr>
          <w:color w:val="000000"/>
          <w:sz w:val="26"/>
          <w:szCs w:val="26"/>
        </w:rPr>
        <w:t>; công viên giải trí, vườn thú, thủy cung có khối tích dưới 1.500 m</w:t>
      </w:r>
      <w:r w:rsidRPr="00262A2C">
        <w:rPr>
          <w:color w:val="000000"/>
          <w:sz w:val="26"/>
          <w:szCs w:val="26"/>
          <w:vertAlign w:val="superscript"/>
        </w:rPr>
        <w:t>3</w:t>
      </w:r>
      <w:r w:rsidRPr="00262A2C">
        <w:rPr>
          <w:color w:val="000000"/>
          <w:sz w:val="26"/>
          <w:szCs w:val="26"/>
        </w:rPr>
        <w:t>.</w:t>
      </w:r>
    </w:p>
    <w:p w:rsidR="00262A2C" w:rsidRPr="00262A2C" w:rsidRDefault="00262A2C" w:rsidP="00262A2C">
      <w:pPr>
        <w:pStyle w:val="NormalWeb"/>
        <w:spacing w:before="120" w:beforeAutospacing="0" w:after="0" w:afterAutospacing="0" w:line="234" w:lineRule="atLeast"/>
        <w:rPr>
          <w:color w:val="000000"/>
          <w:sz w:val="26"/>
          <w:szCs w:val="26"/>
        </w:rPr>
      </w:pPr>
      <w:r w:rsidRPr="00262A2C">
        <w:rPr>
          <w:color w:val="000000"/>
          <w:sz w:val="26"/>
          <w:szCs w:val="26"/>
        </w:rPr>
        <w:t>6. Chợ hạng 3; trung tâm thương mại, điện máy, siêu thị, cơ sở kinh doanh dịch vụ ăn uống, cơ sở kinh doanh hàng hóa dễ cháy, nổ có tổng diện tích kinh doanh dưới 300 m</w:t>
      </w:r>
      <w:r w:rsidRPr="00262A2C">
        <w:rPr>
          <w:color w:val="000000"/>
          <w:sz w:val="26"/>
          <w:szCs w:val="26"/>
          <w:vertAlign w:val="superscript"/>
        </w:rPr>
        <w:t>2</w:t>
      </w:r>
      <w:r w:rsidRPr="00262A2C">
        <w:rPr>
          <w:color w:val="000000"/>
          <w:sz w:val="26"/>
          <w:szCs w:val="26"/>
        </w:rPr>
        <w:t> và có tổng khối tích các nhà phục vụ kinh doanh dưới 1.000 m</w:t>
      </w:r>
      <w:r w:rsidRPr="00262A2C">
        <w:rPr>
          <w:color w:val="000000"/>
          <w:sz w:val="26"/>
          <w:szCs w:val="26"/>
          <w:vertAlign w:val="superscript"/>
        </w:rPr>
        <w:t>3</w:t>
      </w:r>
      <w:r w:rsidRPr="00262A2C">
        <w:rPr>
          <w:color w:val="000000"/>
          <w:sz w:val="26"/>
          <w:szCs w:val="26"/>
        </w:rPr>
        <w:t>.</w:t>
      </w:r>
    </w:p>
    <w:p w:rsidR="00262A2C" w:rsidRPr="00262A2C" w:rsidRDefault="00262A2C" w:rsidP="00262A2C">
      <w:pPr>
        <w:pStyle w:val="NormalWeb"/>
        <w:spacing w:before="120" w:beforeAutospacing="0" w:after="0" w:afterAutospacing="0" w:line="234" w:lineRule="atLeast"/>
        <w:rPr>
          <w:color w:val="000000"/>
          <w:sz w:val="26"/>
          <w:szCs w:val="26"/>
        </w:rPr>
      </w:pPr>
      <w:r w:rsidRPr="00262A2C">
        <w:rPr>
          <w:color w:val="000000"/>
          <w:sz w:val="26"/>
          <w:szCs w:val="26"/>
        </w:rPr>
        <w:t>7. Khách sạn, nhà khách, nhà nghỉ, cơ sở lưu trú khác được thành lập theo Luật Du lịch, nhà trọ cao dưới 5 tầng và có tổng khối tích của các khối nhà phục vụ lưu trú dưới 2.500 m</w:t>
      </w:r>
      <w:r w:rsidRPr="00262A2C">
        <w:rPr>
          <w:color w:val="000000"/>
          <w:sz w:val="26"/>
          <w:szCs w:val="26"/>
          <w:vertAlign w:val="superscript"/>
        </w:rPr>
        <w:t>3</w:t>
      </w:r>
      <w:r w:rsidRPr="00262A2C">
        <w:rPr>
          <w:color w:val="000000"/>
          <w:sz w:val="26"/>
          <w:szCs w:val="26"/>
        </w:rPr>
        <w:t>.</w:t>
      </w:r>
    </w:p>
    <w:p w:rsidR="00262A2C" w:rsidRPr="00262A2C" w:rsidRDefault="00262A2C" w:rsidP="00262A2C">
      <w:pPr>
        <w:pStyle w:val="NormalWeb"/>
        <w:spacing w:before="120" w:beforeAutospacing="0" w:after="0" w:afterAutospacing="0" w:line="234" w:lineRule="atLeast"/>
        <w:rPr>
          <w:color w:val="000000"/>
          <w:sz w:val="26"/>
          <w:szCs w:val="26"/>
        </w:rPr>
      </w:pPr>
      <w:r w:rsidRPr="00262A2C">
        <w:rPr>
          <w:color w:val="000000"/>
          <w:sz w:val="26"/>
          <w:szCs w:val="26"/>
        </w:rPr>
        <w:t>8. Nhà sử dụng làm trụ sở, văn phòng làm việc của doanh nghiệp, tổ chức chính trị, xã hội cao dưới 5 tầng và có khối tích dưới 1.500 m</w:t>
      </w:r>
      <w:r w:rsidRPr="00262A2C">
        <w:rPr>
          <w:color w:val="000000"/>
          <w:sz w:val="26"/>
          <w:szCs w:val="26"/>
          <w:vertAlign w:val="superscript"/>
        </w:rPr>
        <w:t>3</w:t>
      </w:r>
      <w:r w:rsidRPr="00262A2C">
        <w:rPr>
          <w:color w:val="000000"/>
          <w:sz w:val="26"/>
          <w:szCs w:val="26"/>
        </w:rPr>
        <w:t>.</w:t>
      </w:r>
    </w:p>
    <w:p w:rsidR="00262A2C" w:rsidRPr="00262A2C" w:rsidRDefault="00262A2C" w:rsidP="00262A2C">
      <w:pPr>
        <w:pStyle w:val="NormalWeb"/>
        <w:spacing w:before="120" w:beforeAutospacing="0" w:after="0" w:afterAutospacing="0" w:line="234" w:lineRule="atLeast"/>
        <w:rPr>
          <w:color w:val="000000"/>
          <w:sz w:val="26"/>
          <w:szCs w:val="26"/>
        </w:rPr>
      </w:pPr>
      <w:r w:rsidRPr="00262A2C">
        <w:rPr>
          <w:color w:val="000000"/>
          <w:sz w:val="26"/>
          <w:szCs w:val="26"/>
        </w:rPr>
        <w:t>9. Bảo tàng, thư viện, nhà triển lãm, nhà trưng bày, nhà lưu trữ, nhà sách, nhà hội chợ có khối tích dưới 1.500 m</w:t>
      </w:r>
      <w:r w:rsidRPr="00262A2C">
        <w:rPr>
          <w:color w:val="000000"/>
          <w:sz w:val="26"/>
          <w:szCs w:val="26"/>
          <w:vertAlign w:val="superscript"/>
        </w:rPr>
        <w:t>3</w:t>
      </w:r>
      <w:r w:rsidRPr="00262A2C">
        <w:rPr>
          <w:color w:val="000000"/>
          <w:sz w:val="26"/>
          <w:szCs w:val="26"/>
        </w:rPr>
        <w:t>; cơ sở tôn giáo có khối tích dưới 5.000 m</w:t>
      </w:r>
      <w:r w:rsidRPr="00262A2C">
        <w:rPr>
          <w:color w:val="000000"/>
          <w:sz w:val="26"/>
          <w:szCs w:val="26"/>
          <w:vertAlign w:val="superscript"/>
        </w:rPr>
        <w:t>3</w:t>
      </w:r>
      <w:r w:rsidRPr="00262A2C">
        <w:rPr>
          <w:color w:val="000000"/>
          <w:sz w:val="26"/>
          <w:szCs w:val="26"/>
        </w:rPr>
        <w:t>.</w:t>
      </w:r>
    </w:p>
    <w:p w:rsidR="00262A2C" w:rsidRPr="00262A2C" w:rsidRDefault="00262A2C" w:rsidP="00262A2C">
      <w:pPr>
        <w:pStyle w:val="NormalWeb"/>
        <w:spacing w:before="120" w:beforeAutospacing="0" w:after="0" w:afterAutospacing="0" w:line="234" w:lineRule="atLeast"/>
        <w:rPr>
          <w:color w:val="000000"/>
          <w:sz w:val="26"/>
          <w:szCs w:val="26"/>
        </w:rPr>
      </w:pPr>
      <w:r w:rsidRPr="00262A2C">
        <w:rPr>
          <w:color w:val="000000"/>
          <w:sz w:val="26"/>
          <w:szCs w:val="26"/>
        </w:rPr>
        <w:t>10. Nhà của điểm phục vụ bưu chính, cơ sở khai thác bưu gửi, cơ sở viễn thông cao dưới 3 tầng và có tổng khối tích các khối nhà dưới 1.500 m</w:t>
      </w:r>
      <w:r w:rsidRPr="00262A2C">
        <w:rPr>
          <w:color w:val="000000"/>
          <w:sz w:val="26"/>
          <w:szCs w:val="26"/>
          <w:vertAlign w:val="superscript"/>
        </w:rPr>
        <w:t>3</w:t>
      </w:r>
      <w:r w:rsidRPr="00262A2C">
        <w:rPr>
          <w:color w:val="000000"/>
          <w:sz w:val="26"/>
          <w:szCs w:val="26"/>
        </w:rPr>
        <w:t>; trung tâm lưu trữ, quản lý dữ liệu, cơ sở phát thanh, truyền hình, cơ sở hoạt động xuất bản, in ấn có tổng khối tích các khối nhà dưới 1.000 m</w:t>
      </w:r>
      <w:r w:rsidRPr="00262A2C">
        <w:rPr>
          <w:color w:val="000000"/>
          <w:sz w:val="26"/>
          <w:szCs w:val="26"/>
          <w:vertAlign w:val="superscript"/>
        </w:rPr>
        <w:t>3</w:t>
      </w:r>
      <w:r w:rsidRPr="00262A2C">
        <w:rPr>
          <w:color w:val="000000"/>
          <w:sz w:val="26"/>
          <w:szCs w:val="26"/>
        </w:rPr>
        <w:t>.</w:t>
      </w:r>
    </w:p>
    <w:p w:rsidR="00262A2C" w:rsidRPr="00262A2C" w:rsidRDefault="00262A2C" w:rsidP="00262A2C">
      <w:pPr>
        <w:pStyle w:val="NormalWeb"/>
        <w:spacing w:before="120" w:beforeAutospacing="0" w:after="0" w:afterAutospacing="0" w:line="234" w:lineRule="atLeast"/>
        <w:rPr>
          <w:color w:val="000000"/>
          <w:sz w:val="26"/>
          <w:szCs w:val="26"/>
        </w:rPr>
      </w:pPr>
      <w:r w:rsidRPr="00262A2C">
        <w:rPr>
          <w:color w:val="000000"/>
          <w:sz w:val="26"/>
          <w:szCs w:val="26"/>
        </w:rPr>
        <w:t>11. Cơ sở thể thao được thành lập theo Luật Thể dục, thể thao có khối tích dưới 1.500 m</w:t>
      </w:r>
      <w:r w:rsidRPr="00262A2C">
        <w:rPr>
          <w:color w:val="000000"/>
          <w:sz w:val="26"/>
          <w:szCs w:val="26"/>
          <w:vertAlign w:val="superscript"/>
        </w:rPr>
        <w:t>3</w:t>
      </w:r>
      <w:r w:rsidRPr="00262A2C">
        <w:rPr>
          <w:color w:val="000000"/>
          <w:sz w:val="26"/>
          <w:szCs w:val="26"/>
        </w:rPr>
        <w:t>.</w:t>
      </w:r>
    </w:p>
    <w:p w:rsidR="00262A2C" w:rsidRPr="00262A2C" w:rsidRDefault="00262A2C" w:rsidP="00262A2C">
      <w:pPr>
        <w:pStyle w:val="NormalWeb"/>
        <w:spacing w:before="120" w:beforeAutospacing="0" w:after="0" w:afterAutospacing="0" w:line="234" w:lineRule="atLeast"/>
        <w:rPr>
          <w:color w:val="000000"/>
          <w:sz w:val="26"/>
          <w:szCs w:val="26"/>
        </w:rPr>
      </w:pPr>
      <w:r w:rsidRPr="00262A2C">
        <w:rPr>
          <w:color w:val="000000"/>
          <w:sz w:val="26"/>
          <w:szCs w:val="26"/>
        </w:rPr>
        <w:t>12. Cơ sở kinh doanh, sửa chữa, bảo dưỡng phương tiện giao thông cơ giới có diện tích kinh doanh dưới 300 m</w:t>
      </w:r>
      <w:r w:rsidRPr="00262A2C">
        <w:rPr>
          <w:color w:val="000000"/>
          <w:sz w:val="26"/>
          <w:szCs w:val="26"/>
          <w:vertAlign w:val="superscript"/>
        </w:rPr>
        <w:t>2</w:t>
      </w:r>
      <w:r w:rsidRPr="00262A2C">
        <w:rPr>
          <w:color w:val="000000"/>
          <w:sz w:val="26"/>
          <w:szCs w:val="26"/>
        </w:rPr>
        <w:t> và có tổng khối tích các nhà dưới 1.500 m</w:t>
      </w:r>
      <w:r w:rsidRPr="00262A2C">
        <w:rPr>
          <w:color w:val="000000"/>
          <w:sz w:val="26"/>
          <w:szCs w:val="26"/>
          <w:vertAlign w:val="superscript"/>
        </w:rPr>
        <w:t>3</w:t>
      </w:r>
      <w:r w:rsidRPr="00262A2C">
        <w:rPr>
          <w:color w:val="000000"/>
          <w:sz w:val="26"/>
          <w:szCs w:val="26"/>
        </w:rPr>
        <w:t>.</w:t>
      </w:r>
    </w:p>
    <w:p w:rsidR="00262A2C" w:rsidRPr="00262A2C" w:rsidRDefault="00262A2C" w:rsidP="00262A2C">
      <w:pPr>
        <w:pStyle w:val="NormalWeb"/>
        <w:spacing w:before="120" w:beforeAutospacing="0" w:after="0" w:afterAutospacing="0" w:line="234" w:lineRule="atLeast"/>
        <w:rPr>
          <w:color w:val="000000"/>
          <w:sz w:val="26"/>
          <w:szCs w:val="26"/>
        </w:rPr>
      </w:pPr>
      <w:r w:rsidRPr="00262A2C">
        <w:rPr>
          <w:color w:val="000000"/>
          <w:sz w:val="26"/>
          <w:szCs w:val="26"/>
        </w:rPr>
        <w:t>13. Gara để xe có sức chứa dưới 10 xe ô tô; bãi đỗ xe được thành lập theo quy định của pháp luật.</w:t>
      </w:r>
    </w:p>
    <w:p w:rsidR="00262A2C" w:rsidRPr="00262A2C" w:rsidRDefault="00262A2C" w:rsidP="00262A2C">
      <w:pPr>
        <w:pStyle w:val="NormalWeb"/>
        <w:spacing w:before="120" w:beforeAutospacing="0" w:after="0" w:afterAutospacing="0" w:line="234" w:lineRule="atLeast"/>
        <w:rPr>
          <w:color w:val="000000"/>
          <w:sz w:val="26"/>
          <w:szCs w:val="26"/>
        </w:rPr>
      </w:pPr>
      <w:r w:rsidRPr="00262A2C">
        <w:rPr>
          <w:color w:val="000000"/>
          <w:sz w:val="26"/>
          <w:szCs w:val="26"/>
        </w:rPr>
        <w:lastRenderedPageBreak/>
        <w:t>14. Cửa hàng kinh doanh chất lỏng dễ cháy, cửa hàng kinh doanh khí đốt có tổng lượng khí tồn chứa dưới 150 kg.</w:t>
      </w:r>
    </w:p>
    <w:p w:rsidR="00262A2C" w:rsidRPr="00262A2C" w:rsidRDefault="00262A2C" w:rsidP="00262A2C">
      <w:pPr>
        <w:pStyle w:val="NormalWeb"/>
        <w:spacing w:before="120" w:beforeAutospacing="0" w:after="0" w:afterAutospacing="0" w:line="234" w:lineRule="atLeast"/>
        <w:rPr>
          <w:color w:val="000000"/>
          <w:sz w:val="26"/>
          <w:szCs w:val="26"/>
        </w:rPr>
      </w:pPr>
      <w:r w:rsidRPr="00262A2C">
        <w:rPr>
          <w:color w:val="000000"/>
          <w:sz w:val="26"/>
          <w:szCs w:val="26"/>
        </w:rPr>
        <w:t>15. Cơ sở công nghiệp có hạng nguy hiểm cháy, nổ C có tổng khối tích của các khối nhà có dây chuyền công nghệ sản xuất dưới 2.500 m</w:t>
      </w:r>
      <w:r w:rsidRPr="00262A2C">
        <w:rPr>
          <w:color w:val="000000"/>
          <w:sz w:val="26"/>
          <w:szCs w:val="26"/>
          <w:vertAlign w:val="superscript"/>
        </w:rPr>
        <w:t>3</w:t>
      </w:r>
      <w:r w:rsidRPr="00262A2C">
        <w:rPr>
          <w:color w:val="000000"/>
          <w:sz w:val="26"/>
          <w:szCs w:val="26"/>
        </w:rPr>
        <w:t>; hạng nguy hiểm cháy, nổ D, E có tổng khối tích của các khối nhà có dây chuyền công nghệ sản xuất dưới 5.000 m</w:t>
      </w:r>
      <w:r w:rsidRPr="00262A2C">
        <w:rPr>
          <w:color w:val="000000"/>
          <w:sz w:val="26"/>
          <w:szCs w:val="26"/>
          <w:vertAlign w:val="superscript"/>
        </w:rPr>
        <w:t>3</w:t>
      </w:r>
      <w:r w:rsidRPr="00262A2C">
        <w:rPr>
          <w:color w:val="000000"/>
          <w:sz w:val="26"/>
          <w:szCs w:val="26"/>
        </w:rPr>
        <w:t>.</w:t>
      </w:r>
    </w:p>
    <w:p w:rsidR="00262A2C" w:rsidRPr="00262A2C" w:rsidRDefault="00262A2C" w:rsidP="00262A2C">
      <w:pPr>
        <w:pStyle w:val="NormalWeb"/>
        <w:spacing w:before="120" w:beforeAutospacing="0" w:after="0" w:afterAutospacing="0" w:line="234" w:lineRule="atLeast"/>
        <w:rPr>
          <w:color w:val="000000"/>
          <w:sz w:val="26"/>
          <w:szCs w:val="26"/>
        </w:rPr>
      </w:pPr>
      <w:r w:rsidRPr="00262A2C">
        <w:rPr>
          <w:color w:val="000000"/>
          <w:sz w:val="26"/>
          <w:szCs w:val="26"/>
        </w:rPr>
        <w:t>16. Kho hàng hóa, vật tư cháy được có tổng khối tích dưới 1.500 m</w:t>
      </w:r>
      <w:r w:rsidRPr="00262A2C">
        <w:rPr>
          <w:color w:val="000000"/>
          <w:sz w:val="26"/>
          <w:szCs w:val="26"/>
          <w:vertAlign w:val="superscript"/>
        </w:rPr>
        <w:t>3</w:t>
      </w:r>
      <w:r w:rsidRPr="00262A2C">
        <w:rPr>
          <w:color w:val="000000"/>
          <w:sz w:val="26"/>
          <w:szCs w:val="26"/>
        </w:rPr>
        <w:t>; bãi chứa hàng hóa, vật tư, phế liệu cháy được dưới 1.000 m</w:t>
      </w:r>
      <w:r w:rsidRPr="00262A2C">
        <w:rPr>
          <w:color w:val="000000"/>
          <w:sz w:val="26"/>
          <w:szCs w:val="26"/>
          <w:vertAlign w:val="superscript"/>
        </w:rPr>
        <w:t>2</w:t>
      </w:r>
      <w:r w:rsidRPr="00262A2C">
        <w:rPr>
          <w:color w:val="000000"/>
          <w:sz w:val="26"/>
          <w:szCs w:val="26"/>
        </w:rPr>
        <w:t>.</w:t>
      </w:r>
    </w:p>
    <w:p w:rsidR="00262A2C" w:rsidRPr="00262A2C" w:rsidRDefault="00262A2C" w:rsidP="00262A2C">
      <w:pPr>
        <w:pStyle w:val="NormalWeb"/>
        <w:spacing w:before="120" w:beforeAutospacing="0" w:after="0" w:afterAutospacing="0" w:line="234" w:lineRule="atLeast"/>
        <w:rPr>
          <w:color w:val="000000"/>
          <w:sz w:val="26"/>
          <w:szCs w:val="26"/>
        </w:rPr>
      </w:pPr>
      <w:r w:rsidRPr="00262A2C">
        <w:rPr>
          <w:color w:val="000000"/>
          <w:sz w:val="26"/>
          <w:szCs w:val="26"/>
        </w:rPr>
        <w:t>17. Nhà để ở kết hợp sản xuất, kinh doanh hàng hóa dễ cháy, nổ có diện tích sàn dành cho mục đích sản xuất, kinh doanh có diện tích dưới 300 m</w:t>
      </w:r>
      <w:r w:rsidRPr="00262A2C">
        <w:rPr>
          <w:color w:val="000000"/>
          <w:sz w:val="26"/>
          <w:szCs w:val="26"/>
          <w:vertAlign w:val="superscript"/>
        </w:rPr>
        <w:t>2</w:t>
      </w:r>
      <w:r w:rsidRPr="00262A2C">
        <w:rPr>
          <w:color w:val="000000"/>
          <w:sz w:val="26"/>
          <w:szCs w:val="26"/>
        </w:rPr>
        <w:t>.</w:t>
      </w:r>
    </w:p>
    <w:p w:rsidR="00B92865" w:rsidRPr="00262A2C" w:rsidRDefault="00B92865">
      <w:pPr>
        <w:rPr>
          <w:rFonts w:ascii="Times New Roman" w:hAnsi="Times New Roman" w:cs="Times New Roman"/>
          <w:sz w:val="26"/>
          <w:szCs w:val="26"/>
        </w:rPr>
      </w:pPr>
    </w:p>
    <w:sectPr w:rsidR="00B92865" w:rsidRPr="00262A2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2C"/>
    <w:rsid w:val="00262A2C"/>
    <w:rsid w:val="00B928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27DAA-68EB-4708-A459-81D73566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A2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262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44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2024-05-16T02:07:00Z</dcterms:created>
  <dcterms:modified xsi:type="dcterms:W3CDTF">2024-05-16T02:07:00Z</dcterms:modified>
</cp:coreProperties>
</file>