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13" w:rsidRPr="00DA3413" w:rsidRDefault="00DA3413" w:rsidP="00DA3413">
      <w:pPr>
        <w:pStyle w:val="NormalWeb"/>
        <w:spacing w:before="0" w:beforeAutospacing="0" w:after="0" w:afterAutospacing="0" w:line="234" w:lineRule="atLeast"/>
        <w:jc w:val="center"/>
        <w:rPr>
          <w:color w:val="000000"/>
          <w:sz w:val="26"/>
          <w:szCs w:val="26"/>
        </w:rPr>
      </w:pPr>
      <w:bookmarkStart w:id="0" w:name="chuong_pl_3"/>
      <w:r w:rsidRPr="00DA3413">
        <w:rPr>
          <w:rStyle w:val="Strong"/>
          <w:color w:val="000000"/>
          <w:sz w:val="26"/>
          <w:szCs w:val="26"/>
        </w:rPr>
        <w:t>PHỤ LỤC III</w:t>
      </w:r>
      <w:bookmarkEnd w:id="0"/>
    </w:p>
    <w:p w:rsidR="00DA3413" w:rsidRPr="00DA3413" w:rsidRDefault="00DA3413" w:rsidP="00DA3413">
      <w:pPr>
        <w:pStyle w:val="NormalWeb"/>
        <w:spacing w:before="0" w:beforeAutospacing="0" w:after="0" w:afterAutospacing="0" w:line="234" w:lineRule="atLeast"/>
        <w:jc w:val="center"/>
        <w:rPr>
          <w:color w:val="000000"/>
          <w:sz w:val="26"/>
          <w:szCs w:val="26"/>
        </w:rPr>
      </w:pPr>
      <w:bookmarkStart w:id="1" w:name="chuong_pl_3_name"/>
      <w:r w:rsidRPr="00DA3413">
        <w:rPr>
          <w:rStyle w:val="Strong"/>
          <w:b w:val="0"/>
          <w:bCs w:val="0"/>
          <w:color w:val="000000"/>
          <w:sz w:val="26"/>
          <w:szCs w:val="26"/>
        </w:rPr>
        <w:t>DANH MỤC CƠ SỞ DO CƠ QUAN CÔNG AN QUẢN LÝ</w:t>
      </w:r>
      <w:bookmarkEnd w:id="1"/>
      <w:r w:rsidRPr="00DA3413">
        <w:rPr>
          <w:b/>
          <w:bCs/>
          <w:color w:val="000000"/>
          <w:sz w:val="26"/>
          <w:szCs w:val="26"/>
        </w:rPr>
        <w:br/>
      </w:r>
      <w:r w:rsidRPr="00DA3413">
        <w:rPr>
          <w:i/>
          <w:iCs/>
          <w:color w:val="000000"/>
          <w:sz w:val="26"/>
          <w:szCs w:val="26"/>
        </w:rPr>
        <w:t>(Kèm theo Nghị định số 50/2024/NĐ-CP ngày 10 tháng 5 năm 2024 của Chính phủ)</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 Trụ sở cơ quan nhà nước từ cấp huyện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2. Nhà chung cư cao từ 5 tầng trở lên hoặc có tổng khối tích từ 5.000 m</w:t>
      </w:r>
      <w:r w:rsidRPr="00DA3413">
        <w:rPr>
          <w:color w:val="000000"/>
          <w:sz w:val="26"/>
          <w:szCs w:val="26"/>
          <w:vertAlign w:val="superscript"/>
        </w:rPr>
        <w:t>3</w:t>
      </w:r>
      <w:r w:rsidRPr="00DA3413">
        <w:rPr>
          <w:color w:val="000000"/>
          <w:sz w:val="26"/>
          <w:szCs w:val="26"/>
        </w:rPr>
        <w:t> trở lên; nhà tập thể, nhà ở ký túc xá cao từ 5 tầng trở lên hoặc có tổng khối tích từ 2.500 m</w:t>
      </w:r>
      <w:r w:rsidRPr="00DA3413">
        <w:rPr>
          <w:color w:val="000000"/>
          <w:sz w:val="26"/>
          <w:szCs w:val="26"/>
          <w:vertAlign w:val="superscript"/>
        </w:rPr>
        <w:t>3</w:t>
      </w:r>
      <w:r w:rsidRPr="00DA3413">
        <w:rPr>
          <w:color w:val="000000"/>
          <w:sz w:val="26"/>
          <w:szCs w:val="26"/>
        </w:rPr>
        <w:t> trở lên; nhà hỗn hợp cao từ 5 tầng trở lên hoặc</w:t>
      </w:r>
      <w:bookmarkStart w:id="2" w:name="_GoBack"/>
      <w:bookmarkEnd w:id="2"/>
      <w:r w:rsidRPr="00DA3413">
        <w:rPr>
          <w:color w:val="000000"/>
          <w:sz w:val="26"/>
          <w:szCs w:val="26"/>
        </w:rPr>
        <w:t xml:space="preserve"> có tổng khối tích từ 1.500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3. Nhà trẻ, trường mẫu giáo, mầm non có từ 100 cháu trở lên hoặc có tổng khối tích các khối nhà học tập, phục vụ học tập từ 1.000 m</w:t>
      </w:r>
      <w:r w:rsidRPr="00DA3413">
        <w:rPr>
          <w:color w:val="000000"/>
          <w:sz w:val="26"/>
          <w:szCs w:val="26"/>
          <w:vertAlign w:val="superscript"/>
        </w:rPr>
        <w:t>3</w:t>
      </w:r>
      <w:r w:rsidRPr="00DA3413">
        <w:rPr>
          <w:color w:val="000000"/>
          <w:sz w:val="26"/>
          <w:szCs w:val="26"/>
        </w:rPr>
        <w:t> trở lên; trường tiểu học, trung học cơ sở có tổng khối tích các khối nhà học tập, phục vụ học tập từ 2.000 m</w:t>
      </w:r>
      <w:r w:rsidRPr="00DA3413">
        <w:rPr>
          <w:color w:val="000000"/>
          <w:sz w:val="26"/>
          <w:szCs w:val="26"/>
          <w:vertAlign w:val="superscript"/>
        </w:rPr>
        <w:t>3</w:t>
      </w:r>
      <w:r w:rsidRPr="00DA3413">
        <w:rPr>
          <w:color w:val="000000"/>
          <w:sz w:val="26"/>
          <w:szCs w:val="26"/>
        </w:rPr>
        <w:t> trở lên; trường trung học phổ thông, trường phổ thông có nhiều cấp học; trường cao đẳng, đại học, học viện; trường trung cấp chuyên nghiệp; trường dạy nghề; cơ sở giáo dục thường xuyên; cơ sở giáo dục khác được thành lập theo Luật Giáo dục có tổng khối tích các khối nhà học tập, phục vụ học tập từ 1.000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4. Bệnh viện; phòng khám đa khoa, khám chuyên khoa, nhà điều dưỡng, phục hồi chức năng, chỉnh hình, nhà dưỡng lão, cơ sở phòng chống dịch bệnh, trung tâm y tế, cơ sở y tế khác được thành lập theo Luật Khám bệnh, chữa bệnh cao từ 3 tầng trở lên hoặc có tổng khối tích từ 1.000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5. Nhà hát, rạp chiếu phim, rạp xiếc; trung tâm hội nghị, tổ chức sự kiện, nhà văn hóa cao từ 3 tầng trở lên hoặc có tổng khối tích của các nhà tổ chức hội nghị, sự kiện, văn hóa từ 1.500 m</w:t>
      </w:r>
      <w:r w:rsidRPr="00DA3413">
        <w:rPr>
          <w:color w:val="000000"/>
          <w:sz w:val="26"/>
          <w:szCs w:val="26"/>
          <w:vertAlign w:val="superscript"/>
        </w:rPr>
        <w:t>3</w:t>
      </w:r>
      <w:r w:rsidRPr="00DA3413">
        <w:rPr>
          <w:color w:val="000000"/>
          <w:sz w:val="26"/>
          <w:szCs w:val="26"/>
        </w:rPr>
        <w:t> trở lên; cơ sở kinh doanh dịch vụ karaoke, vũ trường, quán bar, câu lạc bộ cao từ 3 tầng trở lên hoặc có tổng khối tích các khối nhà phục vụ kinh doanh từ 1.000 m</w:t>
      </w:r>
      <w:r w:rsidRPr="00DA3413">
        <w:rPr>
          <w:color w:val="000000"/>
          <w:sz w:val="26"/>
          <w:szCs w:val="26"/>
          <w:vertAlign w:val="superscript"/>
        </w:rPr>
        <w:t>3</w:t>
      </w:r>
      <w:r w:rsidRPr="00DA3413">
        <w:rPr>
          <w:color w:val="000000"/>
          <w:sz w:val="26"/>
          <w:szCs w:val="26"/>
        </w:rPr>
        <w:t> trở lên; công viên giải trí, vườn thú, thủy cung có khối tích từ 1.500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6. Chợ hạng 1, chợ hạng 2; trung tâm thương mại, điện máy, siêu thị, cơ sở kinh doanh dịch vụ, ăn uống, cơ sở kinh doanh hàng hóa dễ cháy, nổ có tổng diện tích kinh doanh từ 300 m</w:t>
      </w:r>
      <w:r w:rsidRPr="00DA3413">
        <w:rPr>
          <w:color w:val="000000"/>
          <w:sz w:val="26"/>
          <w:szCs w:val="26"/>
          <w:vertAlign w:val="superscript"/>
        </w:rPr>
        <w:t>2</w:t>
      </w:r>
      <w:r w:rsidRPr="00DA3413">
        <w:rPr>
          <w:color w:val="000000"/>
          <w:sz w:val="26"/>
          <w:szCs w:val="26"/>
        </w:rPr>
        <w:t> trở lên hoặc có tổng khối tích các khối nhà phục vụ kinh doanh từ 1.000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7. Khách sạn, nhà khách, nhà nghỉ, cơ sở lưu trú khác được thành lập theo Luật Du lịch, nhà trọ cao từ 5 tầng trở lên hoặc có tổng khối tích của các khối nhà phục vụ lưu trú từ 2.500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8. Nhà sử dụng làm trụ sở, văn phòng làm việc của doanh nghiệp, tổ chức chính trị, xã hội cao từ 5 tầng trở lên hoặc có khối tích từ 1.500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9. Bảo tàng, thư viện, nhà triển lãm, nhà trưng bày, nhà lưu trữ, nhà sách, nhà hội chợ có khối tích từ 1.500 m</w:t>
      </w:r>
      <w:r w:rsidRPr="00DA3413">
        <w:rPr>
          <w:color w:val="000000"/>
          <w:sz w:val="26"/>
          <w:szCs w:val="26"/>
          <w:vertAlign w:val="superscript"/>
        </w:rPr>
        <w:t>3</w:t>
      </w:r>
      <w:r w:rsidRPr="00DA3413">
        <w:rPr>
          <w:color w:val="000000"/>
          <w:sz w:val="26"/>
          <w:szCs w:val="26"/>
        </w:rPr>
        <w:t> trở lên; cơ sở tôn giáo có khối tích từ 5.000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10. Nhà của điểm phục vụ bưu chính, cơ sở khai thác bưu gửi, cơ sở viễn thông cao từ 3 tầng trở lên hoặc có tổng khối tích các khối nhà từ 1.500 m</w:t>
      </w:r>
      <w:r w:rsidRPr="00DA3413">
        <w:rPr>
          <w:color w:val="000000"/>
          <w:sz w:val="26"/>
          <w:szCs w:val="26"/>
          <w:vertAlign w:val="superscript"/>
        </w:rPr>
        <w:t>3</w:t>
      </w:r>
      <w:r w:rsidRPr="00DA3413">
        <w:rPr>
          <w:color w:val="000000"/>
          <w:sz w:val="26"/>
          <w:szCs w:val="26"/>
        </w:rPr>
        <w:t> trở lên; trung tâm lưu trữ, quản lý dữ liệu, cơ sở phát thanh, truyền hình cơ sở hoạt động xuất bản, in ấn có tổng khối tích các khối nhà từ 1.000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11. Sân vận động; nhà thi đấu thể thao, cung thể thao trong nhà; trung tâm thể dục, thể thao; trường đua, trường bắn; cơ sở thể thao khác được thành lập theo Luật Thể dục, thể thao có khối tích từ 1.500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lastRenderedPageBreak/>
        <w:t>12. Cảng hàng không; đài kiểm soát không lưu; hăng ga máy bay; bến cảng biển; cảng cạn; cảng thủy nội địa loại I, loại II; bến xe khách loại I, loại II; trạm dừng nghỉ loại I; nhà ga đường sắt cấp I, II, III; nhà chờ cáp treo vận chuyển người; công trình tàu điện ngầm; cơ sở đăng kiểm phương tiện giao thông cơ giới; cơ sở kinh doanh, sửa chữa, bảo dưỡng phương tiện giao thông cơ giới có diện tích kinh doanh từ 300 m</w:t>
      </w:r>
      <w:r w:rsidRPr="00DA3413">
        <w:rPr>
          <w:color w:val="000000"/>
          <w:sz w:val="26"/>
          <w:szCs w:val="26"/>
          <w:vertAlign w:val="superscript"/>
        </w:rPr>
        <w:t>2</w:t>
      </w:r>
      <w:r w:rsidRPr="00DA3413">
        <w:rPr>
          <w:color w:val="000000"/>
          <w:sz w:val="26"/>
          <w:szCs w:val="26"/>
        </w:rPr>
        <w:t> trở lên hoặc có tổng khối tích các nhà từ 1.500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13. Gara để xe có sức chứa từ 10 xe ô tô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14. Hầm đường bộ, hầm đường sắt có chiều dài từ 500 m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15. Cơ sở hạt nhân; cơ sở sản xuất, kinh doanh, bảo quản, sử dụng vật liệu nổ công nghiệp và tiền chất thuốc nổ; kho vật liệu nổ công nghiệp, tiền chất thuốc nổ; cảng xuất, nhập vật liệu nổ công nghiệp, tiền chất thuốc nổ; kho vũ khí, công cụ hỗ trợ.</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16. Cơ sở khai thác, chế biến, sản xuất, vận chuyển, kinh doanh, bảo quản dầu mỏ và sản phẩm dầu mỏ, khí đốt trên đất liền; kho dầu mỏ và sản phẩm dầu mỏ, kho khí đốt; cảng xuất, nhập dầu mỏ và sản phẩm dầu mỏ, khí đốt; cửa hàng kinh doanh xăng dầu; cửa hàng kinh doanh chất lỏng dễ cháy, cửa hàng kinh doanh khí đốt có tổng lượng khí tồn chứa từ 150 kg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17. Cơ sở công nghiệp có hạng nguy hiểm cháy, nổ A, B; hạng nguy hiểm cháy, nổ C có tổng khối tích của các khối nhà có dây chuyền công nghệ sản xuất từ 2.500 m</w:t>
      </w:r>
      <w:r w:rsidRPr="00DA3413">
        <w:rPr>
          <w:color w:val="000000"/>
          <w:sz w:val="26"/>
          <w:szCs w:val="26"/>
          <w:vertAlign w:val="superscript"/>
        </w:rPr>
        <w:t>3</w:t>
      </w:r>
      <w:r w:rsidRPr="00DA3413">
        <w:rPr>
          <w:color w:val="000000"/>
          <w:sz w:val="26"/>
          <w:szCs w:val="26"/>
        </w:rPr>
        <w:t> trở lên; hạng nguy hiểm cháy, nổ D, E có tổng khối tích của các khối nhà có dây chuyền công nghệ sản xuất từ 5.000 m</w:t>
      </w:r>
      <w:r w:rsidRPr="00DA3413">
        <w:rPr>
          <w:color w:val="000000"/>
          <w:sz w:val="26"/>
          <w:szCs w:val="26"/>
          <w:vertAlign w:val="superscript"/>
        </w:rPr>
        <w:t>3</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18. Nhà máy điện; trạm biến áp có điện áp từ 110 kV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19. Hầm có hoạt động sản xuất, bảo quản, sử dụng chất cháy, nổ; kho dự trữ quốc gia; kho hàng hóa, vật tư cháy được có tổng khối tích từ 1.500 m</w:t>
      </w:r>
      <w:r w:rsidRPr="00DA3413">
        <w:rPr>
          <w:color w:val="000000"/>
          <w:sz w:val="26"/>
          <w:szCs w:val="26"/>
          <w:vertAlign w:val="superscript"/>
        </w:rPr>
        <w:t>3</w:t>
      </w:r>
      <w:r w:rsidRPr="00DA3413">
        <w:rPr>
          <w:color w:val="000000"/>
          <w:sz w:val="26"/>
          <w:szCs w:val="26"/>
        </w:rPr>
        <w:t> trở lên; bãi chứa hàng hóa, vật tư, phế liệu cháy được có diện tích từ 1.000 m</w:t>
      </w:r>
      <w:r w:rsidRPr="00DA3413">
        <w:rPr>
          <w:color w:val="000000"/>
          <w:sz w:val="26"/>
          <w:szCs w:val="26"/>
          <w:vertAlign w:val="superscript"/>
        </w:rPr>
        <w:t>2</w:t>
      </w:r>
      <w:r w:rsidRPr="00DA3413">
        <w:rPr>
          <w:color w:val="000000"/>
          <w:sz w:val="26"/>
          <w:szCs w:val="26"/>
        </w:rPr>
        <w:t>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20. Cơ sở khác không thuộc danh mục từ mục 1 đến mục 19 có trạm cấp xăng dầu nội bộ hoặc có sử dụng hệ thống cấp khí đốt trung tâm có tổng lượng khí sử dụng từ 70 kg trở lên.</w:t>
      </w:r>
    </w:p>
    <w:p w:rsidR="00DA3413" w:rsidRPr="00DA3413" w:rsidRDefault="00DA3413" w:rsidP="00DA3413">
      <w:pPr>
        <w:pStyle w:val="NormalWeb"/>
        <w:spacing w:before="120" w:beforeAutospacing="0" w:after="0" w:afterAutospacing="0" w:line="234" w:lineRule="atLeast"/>
        <w:rPr>
          <w:color w:val="000000"/>
          <w:sz w:val="26"/>
          <w:szCs w:val="26"/>
        </w:rPr>
      </w:pPr>
      <w:r w:rsidRPr="00DA3413">
        <w:rPr>
          <w:color w:val="000000"/>
          <w:sz w:val="26"/>
          <w:szCs w:val="26"/>
        </w:rPr>
        <w:t>21. Nhà để ở kết hợp sản xuất, kinh doanh hàng hóa dễ cháy, nổ có diện tích sàn dành cho mục đích sản xuất, kinh doanh từ 300 m</w:t>
      </w:r>
      <w:r w:rsidRPr="00DA3413">
        <w:rPr>
          <w:color w:val="000000"/>
          <w:sz w:val="26"/>
          <w:szCs w:val="26"/>
          <w:vertAlign w:val="superscript"/>
        </w:rPr>
        <w:t>2</w:t>
      </w:r>
      <w:r w:rsidRPr="00DA3413">
        <w:rPr>
          <w:color w:val="000000"/>
          <w:sz w:val="26"/>
          <w:szCs w:val="26"/>
        </w:rPr>
        <w:t> trở lên.</w:t>
      </w:r>
    </w:p>
    <w:p w:rsidR="00B92865" w:rsidRPr="00DA3413" w:rsidRDefault="00B92865">
      <w:pPr>
        <w:rPr>
          <w:rFonts w:ascii="Times New Roman" w:hAnsi="Times New Roman" w:cs="Times New Roman"/>
          <w:sz w:val="26"/>
          <w:szCs w:val="26"/>
        </w:rPr>
      </w:pPr>
    </w:p>
    <w:sectPr w:rsidR="00B92865" w:rsidRPr="00DA34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13"/>
    <w:rsid w:val="00B92865"/>
    <w:rsid w:val="00DA34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E47A1-C9DA-4660-86D8-54E49685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41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DA3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2024-05-16T02:06:00Z</dcterms:created>
  <dcterms:modified xsi:type="dcterms:W3CDTF">2024-05-16T02:06:00Z</dcterms:modified>
</cp:coreProperties>
</file>