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01603C" w:rsidRPr="0001603C" w:rsidTr="00AF2F4E">
        <w:tc>
          <w:tcPr>
            <w:tcW w:w="4428" w:type="dxa"/>
          </w:tcPr>
          <w:p w:rsidR="0001603C" w:rsidRPr="0001603C" w:rsidRDefault="0001603C" w:rsidP="00AF2F4E">
            <w:pPr>
              <w:widowControl w:val="0"/>
              <w:autoSpaceDE w:val="0"/>
              <w:autoSpaceDN w:val="0"/>
              <w:adjustRightInd w:val="0"/>
              <w:spacing w:before="120"/>
              <w:ind w:right="144"/>
            </w:pPr>
            <w:r w:rsidRPr="0001603C">
              <w:rPr>
                <w:b/>
                <w:bCs/>
              </w:rPr>
              <w:t>CTCK:</w:t>
            </w:r>
            <w:r w:rsidRPr="0001603C">
              <w:t>............</w:t>
            </w:r>
          </w:p>
          <w:p w:rsidR="0001603C" w:rsidRPr="0001603C" w:rsidRDefault="0001603C" w:rsidP="00AF2F4E">
            <w:pPr>
              <w:widowControl w:val="0"/>
              <w:autoSpaceDE w:val="0"/>
              <w:autoSpaceDN w:val="0"/>
              <w:adjustRightInd w:val="0"/>
              <w:spacing w:before="120"/>
              <w:ind w:right="144"/>
              <w:rPr>
                <w:lang w:val="vi-VN"/>
              </w:rPr>
            </w:pPr>
            <w:r w:rsidRPr="0001603C">
              <w:rPr>
                <w:b/>
                <w:bCs/>
              </w:rPr>
              <w:t>Địa chỉ:</w:t>
            </w:r>
            <w:r w:rsidRPr="0001603C">
              <w:t>............</w:t>
            </w:r>
          </w:p>
        </w:tc>
        <w:tc>
          <w:tcPr>
            <w:tcW w:w="4428" w:type="dxa"/>
          </w:tcPr>
          <w:p w:rsidR="0001603C" w:rsidRPr="0001603C" w:rsidRDefault="0001603C" w:rsidP="00AF2F4E">
            <w:pPr>
              <w:spacing w:before="120"/>
              <w:jc w:val="center"/>
              <w:rPr>
                <w:lang w:val="vi-VN"/>
              </w:rPr>
            </w:pPr>
            <w:bookmarkStart w:id="0" w:name="_GoBack"/>
            <w:r w:rsidRPr="0001603C">
              <w:rPr>
                <w:b/>
                <w:bCs/>
                <w:lang w:val="vi-VN"/>
              </w:rPr>
              <w:t>Mẫu số B02 - CTCK</w:t>
            </w:r>
            <w:bookmarkEnd w:id="0"/>
            <w:r w:rsidRPr="0001603C">
              <w:rPr>
                <w:lang w:val="vi-VN"/>
              </w:rPr>
              <w:br/>
            </w:r>
            <w:r w:rsidRPr="0001603C">
              <w:rPr>
                <w:i/>
                <w:iCs/>
                <w:lang w:val="vi-VN"/>
              </w:rPr>
              <w:t>(Ban hành theo TT số 334/2016/TT-BTC ngày 27/12/2016 của Bộ Tài chính)</w:t>
            </w:r>
          </w:p>
        </w:tc>
      </w:tr>
    </w:tbl>
    <w:p w:rsidR="0001603C" w:rsidRPr="0001603C" w:rsidRDefault="0001603C" w:rsidP="0001603C">
      <w:pPr>
        <w:spacing w:before="120"/>
        <w:rPr>
          <w:lang w:val="vi-VN"/>
        </w:rPr>
      </w:pPr>
    </w:p>
    <w:p w:rsidR="0001603C" w:rsidRPr="0001603C" w:rsidRDefault="0001603C" w:rsidP="0001603C">
      <w:pPr>
        <w:widowControl w:val="0"/>
        <w:autoSpaceDE w:val="0"/>
        <w:autoSpaceDN w:val="0"/>
        <w:adjustRightInd w:val="0"/>
        <w:spacing w:before="120"/>
        <w:ind w:right="144"/>
        <w:jc w:val="center"/>
        <w:rPr>
          <w:lang w:val="vi-VN"/>
        </w:rPr>
      </w:pPr>
      <w:r w:rsidRPr="0001603C">
        <w:rPr>
          <w:b/>
          <w:bCs/>
          <w:lang w:val="vi-VN"/>
        </w:rPr>
        <w:t>BÁO CÁO KẾT QUẢ HOẠT ĐỘNG RIÊNG</w:t>
      </w:r>
    </w:p>
    <w:p w:rsidR="0001603C" w:rsidRPr="0001603C" w:rsidRDefault="0001603C" w:rsidP="0001603C">
      <w:pPr>
        <w:widowControl w:val="0"/>
        <w:autoSpaceDE w:val="0"/>
        <w:autoSpaceDN w:val="0"/>
        <w:adjustRightInd w:val="0"/>
        <w:spacing w:before="120"/>
        <w:ind w:right="144"/>
        <w:jc w:val="center"/>
        <w:rPr>
          <w:lang w:val="vi-VN"/>
        </w:rPr>
      </w:pPr>
      <w:r w:rsidRPr="0001603C">
        <w:rPr>
          <w:i/>
          <w:iCs/>
          <w:lang w:val="vi-VN"/>
        </w:rPr>
        <w:t>Năm 201...</w:t>
      </w:r>
    </w:p>
    <w:p w:rsidR="0001603C" w:rsidRPr="0001603C" w:rsidRDefault="0001603C" w:rsidP="0001603C">
      <w:pPr>
        <w:widowControl w:val="0"/>
        <w:autoSpaceDE w:val="0"/>
        <w:autoSpaceDN w:val="0"/>
        <w:adjustRightInd w:val="0"/>
        <w:spacing w:before="120"/>
        <w:ind w:right="144"/>
        <w:jc w:val="right"/>
        <w:rPr>
          <w:lang w:val="vi-VN"/>
        </w:rPr>
      </w:pPr>
      <w:r w:rsidRPr="0001603C">
        <w:rPr>
          <w:i/>
          <w:iCs/>
          <w:lang w:val="vi-VN"/>
        </w:rPr>
        <w:t>Đơn vị tính: Đồng Việt Nam</w:t>
      </w:r>
    </w:p>
    <w:tbl>
      <w:tblPr>
        <w:tblStyle w:val="TableGrid"/>
        <w:tblW w:w="8319" w:type="dxa"/>
        <w:tblCellMar>
          <w:left w:w="0" w:type="dxa"/>
          <w:right w:w="0" w:type="dxa"/>
        </w:tblCellMar>
        <w:tblLook w:val="01E0" w:firstRow="1" w:lastRow="1" w:firstColumn="1" w:lastColumn="1" w:noHBand="0" w:noVBand="0"/>
      </w:tblPr>
      <w:tblGrid>
        <w:gridCol w:w="4903"/>
        <w:gridCol w:w="810"/>
        <w:gridCol w:w="888"/>
        <w:gridCol w:w="851"/>
        <w:gridCol w:w="867"/>
      </w:tblGrid>
      <w:tr w:rsidR="0001603C" w:rsidRPr="0001603C" w:rsidTr="00AF2F4E">
        <w:tc>
          <w:tcPr>
            <w:tcW w:w="4915" w:type="dxa"/>
            <w:vAlign w:val="center"/>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Chỉ tiêu</w:t>
            </w:r>
          </w:p>
        </w:tc>
        <w:tc>
          <w:tcPr>
            <w:tcW w:w="810" w:type="dxa"/>
            <w:vAlign w:val="center"/>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Mã Số</w:t>
            </w:r>
          </w:p>
        </w:tc>
        <w:tc>
          <w:tcPr>
            <w:tcW w:w="875" w:type="dxa"/>
            <w:vAlign w:val="center"/>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Thuyết minh</w:t>
            </w:r>
          </w:p>
        </w:tc>
        <w:tc>
          <w:tcPr>
            <w:tcW w:w="852" w:type="dxa"/>
            <w:vAlign w:val="center"/>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rPr>
              <w:t>Năm nay</w:t>
            </w:r>
          </w:p>
        </w:tc>
        <w:tc>
          <w:tcPr>
            <w:tcW w:w="867" w:type="dxa"/>
            <w:vAlign w:val="center"/>
          </w:tcPr>
          <w:p w:rsidR="0001603C" w:rsidRPr="0001603C" w:rsidRDefault="0001603C" w:rsidP="00AF2F4E">
            <w:pPr>
              <w:widowControl w:val="0"/>
              <w:autoSpaceDE w:val="0"/>
              <w:autoSpaceDN w:val="0"/>
              <w:adjustRightInd w:val="0"/>
              <w:spacing w:before="120"/>
              <w:ind w:right="144"/>
              <w:jc w:val="center"/>
              <w:rPr>
                <w:lang w:val="vi-VN"/>
              </w:rPr>
            </w:pPr>
            <w:r w:rsidRPr="0001603C">
              <w:rPr>
                <w:b/>
                <w:bCs/>
              </w:rPr>
              <w:t>Năm trước</w:t>
            </w:r>
          </w:p>
        </w:tc>
      </w:tr>
      <w:tr w:rsidR="0001603C" w:rsidRPr="0001603C" w:rsidTr="00AF2F4E">
        <w:tc>
          <w:tcPr>
            <w:tcW w:w="4915" w:type="dxa"/>
            <w:vAlign w:val="center"/>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A</w:t>
            </w:r>
          </w:p>
        </w:tc>
        <w:tc>
          <w:tcPr>
            <w:tcW w:w="810" w:type="dxa"/>
            <w:vAlign w:val="center"/>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B</w:t>
            </w:r>
          </w:p>
        </w:tc>
        <w:tc>
          <w:tcPr>
            <w:tcW w:w="875" w:type="dxa"/>
            <w:vAlign w:val="center"/>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C</w:t>
            </w:r>
          </w:p>
        </w:tc>
        <w:tc>
          <w:tcPr>
            <w:tcW w:w="852" w:type="dxa"/>
            <w:vAlign w:val="center"/>
          </w:tcPr>
          <w:p w:rsidR="0001603C" w:rsidRPr="0001603C" w:rsidRDefault="0001603C" w:rsidP="00AF2F4E">
            <w:pPr>
              <w:widowControl w:val="0"/>
              <w:autoSpaceDE w:val="0"/>
              <w:autoSpaceDN w:val="0"/>
              <w:adjustRightInd w:val="0"/>
              <w:spacing w:before="120"/>
              <w:ind w:right="144"/>
              <w:jc w:val="center"/>
              <w:rPr>
                <w:bCs/>
                <w:lang w:val="vi-VN"/>
              </w:rPr>
            </w:pPr>
            <w:r w:rsidRPr="0001603C">
              <w:rPr>
                <w:bCs/>
                <w:lang w:val="vi-VN"/>
              </w:rPr>
              <w:t>1</w:t>
            </w:r>
          </w:p>
        </w:tc>
        <w:tc>
          <w:tcPr>
            <w:tcW w:w="867" w:type="dxa"/>
            <w:vAlign w:val="center"/>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2</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I. DOANH THU HOẠT ĐỘNG</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75" w:type="dxa"/>
          </w:tcPr>
          <w:p w:rsidR="0001603C" w:rsidRPr="0001603C" w:rsidRDefault="0001603C" w:rsidP="00AF2F4E">
            <w:pPr>
              <w:widowControl w:val="0"/>
              <w:autoSpaceDE w:val="0"/>
              <w:autoSpaceDN w:val="0"/>
              <w:adjustRightInd w:val="0"/>
              <w:spacing w:before="120"/>
              <w:ind w:right="144"/>
              <w:jc w:val="center"/>
              <w:rPr>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w:t>
            </w: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1.1. Lãi từ các tài sản tài chính ghi nhận thông qua lãi/lỗ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a. Lãi bán các tài sản tài chính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01.1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b. Chênh lệch tăng về đánh giá lại các TSTC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01.2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c. Cổ tức, tiền lãi phát sinh từ tài sản tài chính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01.3</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1.2. Lãi từ các khoản đầu tư nắm giữ đến ngày đáo hạn (HTM)</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1.3. Lãi từ các khoản cho vay và phải thu</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03</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1.4. Lãi từ tài sản tài chính sẵn sàng để bán (AFS)</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04</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1.5. Lãi từ các công cụ phái sinh phòng ngừa rủi ro</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05</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1.6. Doanh thu nghiệp vụ môi giới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06</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1.7. Doanh thu nghiệp vụ bảo lãnh, đại lý phát hành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07</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1.8. Doanh thu nghiệp vụ tư vấn đầu tư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08</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1.9. Doanh thu nghiệp vụ lưu ký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09</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1.10. Doanh thu hoạt động tư vấn tài chính</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10</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1.11. Thu nhập hoạt động khác</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11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Cộng doanh thu hoạt động (20 = 01→11)</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20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w:t>
            </w: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b/>
                <w:bCs/>
                <w:lang w:val="vi-VN"/>
              </w:rPr>
              <w:t>II. CHI PHÍ HOẠT ĐỘNG</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2.1. Lỗ các tài sản tài chính ghi nhận thông qua lãi/lỗ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a. Lỗ bán các tài sản tài chính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21.1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lastRenderedPageBreak/>
              <w:t>b. Chênh lệch giảm đánh giá lại các TSTC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21.2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c. Chi phí giao dịch mua các tài sản tài chính FVTPL</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21.3</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2.2. Lỗ các khoản đầu tư nắm giữ đến ngày đáo hạn (HTM)</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2.3. Lỗ và ghi nhận chênh lệch đánh giá theo giá trị hợp lý tài sản tài chính sẵn sàng để bán (AFS) khi phân loại lại</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23</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2.4. Chi phí dự phòng tài sản tài chính, xử lý tổn thất các khoản phải thu khó đòi và lỗ suy giảm tài sản tài chính và chi phí đi vay của các khoản cho vay</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24</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2.5. Lỗ từ các tài sản tài chính phái sinh phòng ngừa rủi ro</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25</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2.6. Chi phí hoạt động tự doanh</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26</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2.7. Chi phí nghiệp vụ môi giới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27</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2.8. Chi phí nghiệp vụ bảo lãnh, đại lý phát hành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28</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2.9. Chi phí nghiệp vụ tư vấn đầu tư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29</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2.10. Chi phí nghiệp vụ lưu ký chứng khoán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30</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2.11. Chi phí hoạt động tư vấn tài chính</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31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2.12. Chi phí các dịch vụ khác</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32</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Cộng chi phí hoạt động (40 = 21→32)</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rPr>
              <w:t>40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rPr>
              <w:t>.</w:t>
            </w: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III. DOANH THU HOẠT ĐỘNG TÀI CHÍNH</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rPr>
              <w:t>.</w:t>
            </w:r>
            <w:r w:rsidRPr="0001603C">
              <w:t>....</w:t>
            </w:r>
          </w:p>
        </w:tc>
        <w:tc>
          <w:tcPr>
            <w:tcW w:w="852" w:type="dxa"/>
          </w:tcPr>
          <w:p w:rsidR="0001603C" w:rsidRPr="0001603C" w:rsidRDefault="0001603C" w:rsidP="00AF2F4E">
            <w:pPr>
              <w:widowControl w:val="0"/>
              <w:autoSpaceDE w:val="0"/>
              <w:autoSpaceDN w:val="0"/>
              <w:adjustRightInd w:val="0"/>
              <w:spacing w:before="120"/>
              <w:ind w:right="144"/>
              <w:jc w:val="cente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3.1. Chênh lệch lãi tỷ giá hối đoái đã và chưa thực hiện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41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3.2. Doanh thu, dự thu cổ tức, lãi tiền gửi ngân hàng không cố định</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42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3.3. Lãi bán, thanh lý các khoản đầu tư vào công ty con, liên kết, liên doanh</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43</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3.4. Doanh thu khác về đầu tư</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44</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Cộng doanh thu hoạt động tài chính (50 = 41→44)</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rPr>
                <w:b/>
                <w:bCs/>
              </w:rPr>
              <w:t>50</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IV. CHI PHÍ TÀI CHÍNH</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rPr>
              <w:t>.</w:t>
            </w: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4.1. Chênh lệch lỗ tỷ giá hối đoái đã và chưa thực hiện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51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lastRenderedPageBreak/>
              <w:t>4.2. Chi phí lãi vay</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52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4.3. Lỗ bán, thanh lý các khoản đầu tư vào công ty con, liên kết, liên doanh</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53</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4.4. Chi phí dự phòng suy giảm giá trị các khoản đầu tư tài chính dài hạn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54</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4.5. Chi phí tài chính khác</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55</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Cộng chi phí tài chính (60 = 51</w:t>
            </w:r>
            <w:r w:rsidRPr="0001603C">
              <w:rPr>
                <w:lang w:val="vi-VN"/>
              </w:rPr>
              <w:t>→</w:t>
            </w:r>
            <w:r w:rsidRPr="0001603C">
              <w:rPr>
                <w:b/>
                <w:bCs/>
                <w:lang w:val="vi-VN"/>
              </w:rPr>
              <w:t>55)</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
                <w:bCs/>
                <w:lang w:val="vi-VN"/>
              </w:rPr>
              <w:t>60</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V. CHI PHÍ BÁN HÀNG</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
                <w:bCs/>
                <w:lang w:val="vi-VN"/>
              </w:rPr>
              <w:t>61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VI. CHI PHÍ QUẢN LÝ CÔNG TY CHỨNG KHOÁN</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62</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w:t>
            </w: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VII. KẾT QUẢ HOẠT ĐỘNG (70=20+50-40-60-61-62)</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70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w:t>
            </w: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VIII. THU NHẬP KHÁC VÀ CHI PHÍ KHÁC</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w:t>
            </w: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8.1. Thu nhập khác</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71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8.2. Chi phí khác</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72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Cộng kết quả hoạt động khác (80 = 71 - 72)</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
                <w:bCs/>
                <w:lang w:val="vi-VN"/>
              </w:rPr>
              <w:t>80</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IX. TỔNG LỢI NHUẬN KẾ TOÁN TRƯỚC THUẾ (90 = 70 + 80)</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t>90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lang w:val="vi-VN"/>
              </w:rPr>
              <w:t>.</w:t>
            </w: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9.1. Lợi nhuận đã thực hiện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91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9.2. Lợi nhuận chưa thực hiện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lang w:val="vi-VN"/>
              </w:rPr>
              <w:t>92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rPr>
              <w:t>X. CHI PHÍ THUẾ TNDN</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rPr>
              <w:t>100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rPr>
              <w:t>.</w:t>
            </w: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10.1. Chi phí thuế TNDN hiện hành</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100.1</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10.2. Chi phí thuế TNDN hoãn lại</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100.2</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XI. LỢI NHUẬN KẾ TOÁN SAU THUẾ TNDN (200 = 90 - 100)</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rPr>
                <w:b/>
                <w:bCs/>
              </w:rPr>
              <w:t>200</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XII. THU NHẬP (LỖ) TOÀN DIỆN KHÁC SAU THUẾ TNDN</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
                <w:bCs/>
              </w:rPr>
              <w:t>300</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p>
        </w:tc>
        <w:tc>
          <w:tcPr>
            <w:tcW w:w="867" w:type="dxa"/>
          </w:tcPr>
          <w:p w:rsidR="0001603C" w:rsidRPr="0001603C" w:rsidRDefault="0001603C" w:rsidP="00AF2F4E">
            <w:pPr>
              <w:widowControl w:val="0"/>
              <w:autoSpaceDE w:val="0"/>
              <w:autoSpaceDN w:val="0"/>
              <w:adjustRightInd w:val="0"/>
              <w:spacing w:before="120"/>
              <w:ind w:right="144"/>
              <w:jc w:val="center"/>
              <w:rPr>
                <w:lang w:val="vi-VN"/>
              </w:rP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12.1. Lãi/(Lỗ) từ đánh giá lại các tài sản tài chính sẵn sàng để bán</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301</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12.2. Lãi/(lỗ) chênh lệch tỷ giá của hoạt động tại nước ngoài</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302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12.3. Lãi, lỗ đánh giá lại tài sản cố định theo mô hình giá trị hợp lý</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303</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12.4. Lãi, lỗ toàn diện khác</w:t>
            </w:r>
          </w:p>
        </w:tc>
        <w:tc>
          <w:tcPr>
            <w:tcW w:w="810" w:type="dxa"/>
          </w:tcPr>
          <w:p w:rsidR="0001603C" w:rsidRPr="0001603C" w:rsidRDefault="0001603C" w:rsidP="00AF2F4E">
            <w:pPr>
              <w:widowControl w:val="0"/>
              <w:autoSpaceDE w:val="0"/>
              <w:autoSpaceDN w:val="0"/>
              <w:adjustRightInd w:val="0"/>
              <w:spacing w:before="120"/>
              <w:ind w:right="144"/>
              <w:jc w:val="center"/>
            </w:pPr>
            <w:r w:rsidRPr="0001603C">
              <w:t>304</w:t>
            </w:r>
          </w:p>
        </w:tc>
        <w:tc>
          <w:tcPr>
            <w:tcW w:w="875" w:type="dxa"/>
          </w:tcPr>
          <w:p w:rsidR="0001603C" w:rsidRPr="0001603C" w:rsidRDefault="0001603C" w:rsidP="00AF2F4E">
            <w:pPr>
              <w:widowControl w:val="0"/>
              <w:autoSpaceDE w:val="0"/>
              <w:autoSpaceDN w:val="0"/>
              <w:adjustRightInd w:val="0"/>
              <w:spacing w:before="120"/>
              <w:ind w:right="144"/>
              <w:jc w:val="center"/>
            </w:pPr>
          </w:p>
        </w:tc>
        <w:tc>
          <w:tcPr>
            <w:tcW w:w="852" w:type="dxa"/>
          </w:tcPr>
          <w:p w:rsidR="0001603C" w:rsidRPr="0001603C" w:rsidRDefault="0001603C" w:rsidP="00AF2F4E">
            <w:pPr>
              <w:widowControl w:val="0"/>
              <w:autoSpaceDE w:val="0"/>
              <w:autoSpaceDN w:val="0"/>
              <w:adjustRightInd w:val="0"/>
              <w:spacing w:before="120"/>
              <w:ind w:right="144"/>
              <w:jc w:val="center"/>
            </w:pPr>
          </w:p>
        </w:tc>
        <w:tc>
          <w:tcPr>
            <w:tcW w:w="867" w:type="dxa"/>
          </w:tcPr>
          <w:p w:rsidR="0001603C" w:rsidRPr="0001603C" w:rsidRDefault="0001603C" w:rsidP="00AF2F4E">
            <w:pPr>
              <w:widowControl w:val="0"/>
              <w:autoSpaceDE w:val="0"/>
              <w:autoSpaceDN w:val="0"/>
              <w:adjustRightInd w:val="0"/>
              <w:spacing w:before="120"/>
              <w:ind w:right="144"/>
              <w:jc w:val="center"/>
            </w:pP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Tổng thu nhập toàn diện</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rPr>
              <w:t>400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rPr>
              <w:t>.</w:t>
            </w: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b/>
                <w:bCs/>
                <w:lang w:val="vi-VN"/>
              </w:rPr>
            </w:pPr>
            <w:r w:rsidRPr="0001603C">
              <w:rPr>
                <w:b/>
                <w:bCs/>
                <w:lang w:val="vi-VN"/>
              </w:rPr>
              <w:t>XIII. THU NHẬP THUẦN TRÊN CỔ PHIẾU PHỔ THÔNG</w:t>
            </w:r>
          </w:p>
        </w:tc>
        <w:tc>
          <w:tcPr>
            <w:tcW w:w="81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rPr>
              <w:t>500</w:t>
            </w:r>
          </w:p>
        </w:tc>
        <w:tc>
          <w:tcPr>
            <w:tcW w:w="875" w:type="dxa"/>
          </w:tcPr>
          <w:p w:rsidR="0001603C" w:rsidRPr="0001603C" w:rsidRDefault="0001603C" w:rsidP="00AF2F4E">
            <w:pPr>
              <w:widowControl w:val="0"/>
              <w:autoSpaceDE w:val="0"/>
              <w:autoSpaceDN w:val="0"/>
              <w:adjustRightInd w:val="0"/>
              <w:spacing w:before="120"/>
              <w:ind w:right="144"/>
              <w:jc w:val="center"/>
              <w:rPr>
                <w:b/>
                <w:bCs/>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rPr>
                <w:bCs/>
              </w:rPr>
              <w:t>.</w:t>
            </w: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lastRenderedPageBreak/>
              <w:t>13.1. Lãi cơ bản trên cổ phiếu (Đồng/1 cổ phiếu)</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501</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r w:rsidR="0001603C" w:rsidRPr="0001603C" w:rsidTr="00AF2F4E">
        <w:tc>
          <w:tcPr>
            <w:tcW w:w="4915" w:type="dxa"/>
          </w:tcPr>
          <w:p w:rsidR="0001603C" w:rsidRPr="0001603C" w:rsidRDefault="0001603C" w:rsidP="00AF2F4E">
            <w:pPr>
              <w:widowControl w:val="0"/>
              <w:autoSpaceDE w:val="0"/>
              <w:autoSpaceDN w:val="0"/>
              <w:adjustRightInd w:val="0"/>
              <w:spacing w:before="120"/>
              <w:ind w:right="144"/>
              <w:rPr>
                <w:lang w:val="vi-VN"/>
              </w:rPr>
            </w:pPr>
            <w:r w:rsidRPr="0001603C">
              <w:rPr>
                <w:lang w:val="vi-VN"/>
              </w:rPr>
              <w:t>13.2. Thu nhập pha loãng trên cổ phiếu (Đồng/1 cổ phiếu)</w:t>
            </w:r>
          </w:p>
        </w:tc>
        <w:tc>
          <w:tcPr>
            <w:tcW w:w="810" w:type="dxa"/>
          </w:tcPr>
          <w:p w:rsidR="0001603C" w:rsidRPr="0001603C" w:rsidRDefault="0001603C" w:rsidP="00AF2F4E">
            <w:pPr>
              <w:widowControl w:val="0"/>
              <w:autoSpaceDE w:val="0"/>
              <w:autoSpaceDN w:val="0"/>
              <w:adjustRightInd w:val="0"/>
              <w:spacing w:before="120"/>
              <w:ind w:right="144"/>
              <w:jc w:val="center"/>
              <w:rPr>
                <w:lang w:val="vi-VN"/>
              </w:rPr>
            </w:pPr>
            <w:r w:rsidRPr="0001603C">
              <w:t>502</w:t>
            </w:r>
          </w:p>
        </w:tc>
        <w:tc>
          <w:tcPr>
            <w:tcW w:w="875" w:type="dxa"/>
          </w:tcPr>
          <w:p w:rsidR="0001603C" w:rsidRPr="0001603C" w:rsidRDefault="0001603C" w:rsidP="00AF2F4E">
            <w:pPr>
              <w:widowControl w:val="0"/>
              <w:autoSpaceDE w:val="0"/>
              <w:autoSpaceDN w:val="0"/>
              <w:adjustRightInd w:val="0"/>
              <w:spacing w:before="120"/>
              <w:ind w:right="144"/>
              <w:jc w:val="center"/>
              <w:rPr>
                <w:lang w:val="vi-VN"/>
              </w:rPr>
            </w:pPr>
          </w:p>
        </w:tc>
        <w:tc>
          <w:tcPr>
            <w:tcW w:w="852" w:type="dxa"/>
          </w:tcPr>
          <w:p w:rsidR="0001603C" w:rsidRPr="0001603C" w:rsidRDefault="0001603C" w:rsidP="00AF2F4E">
            <w:pPr>
              <w:widowControl w:val="0"/>
              <w:autoSpaceDE w:val="0"/>
              <w:autoSpaceDN w:val="0"/>
              <w:adjustRightInd w:val="0"/>
              <w:spacing w:before="120"/>
              <w:ind w:right="144"/>
              <w:jc w:val="center"/>
              <w:rPr>
                <w:lang w:val="vi-VN"/>
              </w:rPr>
            </w:pPr>
            <w:r w:rsidRPr="0001603C">
              <w:t>.....</w:t>
            </w:r>
          </w:p>
        </w:tc>
        <w:tc>
          <w:tcPr>
            <w:tcW w:w="867" w:type="dxa"/>
          </w:tcPr>
          <w:p w:rsidR="0001603C" w:rsidRPr="0001603C" w:rsidRDefault="0001603C" w:rsidP="00AF2F4E">
            <w:pPr>
              <w:widowControl w:val="0"/>
              <w:autoSpaceDE w:val="0"/>
              <w:autoSpaceDN w:val="0"/>
              <w:adjustRightInd w:val="0"/>
              <w:spacing w:before="120"/>
              <w:ind w:right="144"/>
              <w:jc w:val="center"/>
            </w:pPr>
            <w:r w:rsidRPr="0001603C">
              <w:t>.....</w:t>
            </w:r>
          </w:p>
        </w:tc>
      </w:tr>
    </w:tbl>
    <w:p w:rsidR="0001603C" w:rsidRPr="0001603C" w:rsidRDefault="0001603C" w:rsidP="0001603C">
      <w:pPr>
        <w:widowControl w:val="0"/>
        <w:autoSpaceDE w:val="0"/>
        <w:autoSpaceDN w:val="0"/>
        <w:adjustRightInd w:val="0"/>
        <w:spacing w:before="120"/>
        <w:ind w:right="144"/>
        <w:rPr>
          <w:b/>
          <w:bCs/>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08"/>
        <w:gridCol w:w="2520"/>
        <w:gridCol w:w="3497"/>
      </w:tblGrid>
      <w:tr w:rsidR="0001603C" w:rsidRPr="0001603C" w:rsidTr="00AF2F4E">
        <w:tc>
          <w:tcPr>
            <w:tcW w:w="2508"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br/>
              <w:t>Người lập biểu</w:t>
            </w:r>
            <w:r w:rsidRPr="0001603C">
              <w:rPr>
                <w:lang w:val="vi-VN"/>
              </w:rPr>
              <w:br/>
            </w:r>
            <w:r w:rsidRPr="0001603C">
              <w:rPr>
                <w:i/>
                <w:iCs/>
                <w:lang w:val="vi-VN"/>
              </w:rPr>
              <w:t>(Ký, họ tên)</w:t>
            </w:r>
          </w:p>
        </w:tc>
        <w:tc>
          <w:tcPr>
            <w:tcW w:w="2520"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b/>
                <w:bCs/>
                <w:lang w:val="vi-VN"/>
              </w:rPr>
              <w:br/>
              <w:t>Kế toán trưởng</w:t>
            </w:r>
            <w:r w:rsidRPr="0001603C">
              <w:rPr>
                <w:lang w:val="vi-VN"/>
              </w:rPr>
              <w:br/>
            </w:r>
            <w:r w:rsidRPr="0001603C">
              <w:rPr>
                <w:i/>
                <w:iCs/>
                <w:lang w:val="vi-VN"/>
              </w:rPr>
              <w:t>(Ký, họ tên)</w:t>
            </w:r>
          </w:p>
        </w:tc>
        <w:tc>
          <w:tcPr>
            <w:tcW w:w="3497" w:type="dxa"/>
          </w:tcPr>
          <w:p w:rsidR="0001603C" w:rsidRPr="0001603C" w:rsidRDefault="0001603C" w:rsidP="00AF2F4E">
            <w:pPr>
              <w:widowControl w:val="0"/>
              <w:autoSpaceDE w:val="0"/>
              <w:autoSpaceDN w:val="0"/>
              <w:adjustRightInd w:val="0"/>
              <w:spacing w:before="120"/>
              <w:ind w:right="144"/>
              <w:jc w:val="center"/>
              <w:rPr>
                <w:b/>
                <w:bCs/>
                <w:lang w:val="vi-VN"/>
              </w:rPr>
            </w:pPr>
            <w:r w:rsidRPr="0001603C">
              <w:rPr>
                <w:i/>
                <w:iCs/>
                <w:lang w:val="vi-VN"/>
              </w:rPr>
              <w:t>..........., ngày...... tháng...... năm....</w:t>
            </w:r>
            <w:r w:rsidRPr="0001603C">
              <w:rPr>
                <w:i/>
                <w:iCs/>
                <w:lang w:val="vi-VN"/>
              </w:rPr>
              <w:br/>
            </w:r>
            <w:r w:rsidRPr="0001603C">
              <w:rPr>
                <w:b/>
                <w:bCs/>
                <w:lang w:val="vi-VN"/>
              </w:rPr>
              <w:t>Người đại diện theo pháp luật</w:t>
            </w:r>
            <w:r w:rsidRPr="0001603C">
              <w:rPr>
                <w:b/>
                <w:bCs/>
                <w:lang w:val="vi-VN"/>
              </w:rPr>
              <w:br/>
            </w:r>
            <w:r w:rsidRPr="0001603C">
              <w:rPr>
                <w:i/>
                <w:iCs/>
                <w:lang w:val="vi-VN"/>
              </w:rPr>
              <w:t>(Ký, họ tên, đóng dấu)</w:t>
            </w:r>
          </w:p>
        </w:tc>
      </w:tr>
    </w:tbl>
    <w:p w:rsidR="0001603C" w:rsidRPr="0001603C" w:rsidRDefault="0001603C" w:rsidP="0001603C">
      <w:pPr>
        <w:widowControl w:val="0"/>
        <w:autoSpaceDE w:val="0"/>
        <w:autoSpaceDN w:val="0"/>
        <w:adjustRightInd w:val="0"/>
        <w:spacing w:before="120"/>
        <w:ind w:right="144"/>
        <w:rPr>
          <w:b/>
          <w:bCs/>
          <w:lang w:val="vi-VN"/>
        </w:rPr>
      </w:pPr>
    </w:p>
    <w:p w:rsidR="00720117" w:rsidRPr="0001603C" w:rsidRDefault="00720117"/>
    <w:sectPr w:rsidR="00720117" w:rsidRPr="0001603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03C"/>
    <w:rsid w:val="0001603C"/>
    <w:rsid w:val="0072011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92F8E-7FEA-4A9E-A57E-8108E2439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0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603C"/>
    <w:pPr>
      <w:spacing w:after="0" w:line="240" w:lineRule="auto"/>
    </w:pPr>
    <w:rPr>
      <w:rFonts w:ascii="Calibri" w:eastAsia="Calibri" w:hAnsi="Calibri" w:cs="Times New Roman"/>
      <w:sz w:val="20"/>
      <w:szCs w:val="20"/>
      <w:lang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2024-04-11T04:38:00Z</dcterms:created>
  <dcterms:modified xsi:type="dcterms:W3CDTF">2024-04-11T04:39:00Z</dcterms:modified>
</cp:coreProperties>
</file>